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nc-earnings-predictions--2026-07-28"/>
    <w:p>
      <w:pPr>
        <w:pStyle w:val="Heading1"/>
      </w:pPr>
      <w:r>
        <w:t xml:space="preserve">CNC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~$0.88 vs. cons $0.76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Consolidated health benefits ratio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~90.1% vs. cons 90.2%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Marketplace pretax margin / risk-adjustment realization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~3.8% vs. cons 3.5%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diluted EPS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&gt;$3.60 vs. cons $3.55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Consolidated health benefits ratio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~91.2% vs. cons 91.3%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Marketplace pretax-margin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~3.8% vs. cons 3.6%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+6.5% (FOLLOW-THROUGH)</w:t>
            </w:r>
          </w:p>
        </w:tc>
        <w:tc>
          <w:tcPr/>
          <w:p>
            <w:pPr>
              <w:pStyle w:val="Compact"/>
            </w:pPr>
            <w:r>
              <w:t xml:space="preserve">A confirmed Marketplace receivable and a FY2026 EPS-guide increase of roughly</w:t>
            </w:r>
            <w:r>
              <w:t xml:space="preserve"> </w:t>
            </w:r>
            <m:oMath>
              <m:r>
                <m:t>0.20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t</m:t>
              </m:r>
              <m:r>
                <m:t>h</m:t>
              </m:r>
              <m:r>
                <m:t>e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rPr>
                  <m:sty m:val="p"/>
                </m:rPr>
                <m:t>&gt;</m:t>
              </m:r>
            </m:oMath>
            <w:r>
              <w:t xml:space="preserve">3.40 floor should drive FY2026/FY2027 estimate revisions higher by about</w:t>
            </w:r>
            <w:r>
              <w:t xml:space="preserve"> </w:t>
            </w:r>
            <m:oMath>
              <m:r>
                <m:t>0.15</m:t>
              </m:r>
              <m:r>
                <m:rPr>
                  <m:sty m:val="p"/>
                </m:rPr>
                <m:t>/</m:t>
              </m:r>
            </m:oMath>
            <w:r>
              <w:t xml:space="preserve">0.25, supporting follow-through rather than a beat-and-fade.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2026-07-28T00:15:58Z</dcterms:created>
  <dcterms:modified xsi:type="dcterms:W3CDTF">2026-07-28T00:15:58Z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