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Centene Corporation (CNC)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Centene Corporation (CNC)</w:t>
            </w:r>
          </w:p>
        </w:tc>
      </w:tr>
      <w:tr>
        <w:tc>
          <w:tcPr>
            <w:tcW w:type="dxa" w:w="4320"/>
          </w:tcPr>
          <w:p>
            <w:r>
              <w:rPr>
                <w:rFonts w:ascii="Calibri" w:hAnsi="Calibri"/>
                <w:b/>
                <w:sz w:val="22"/>
              </w:rPr>
              <w:t>Earnings Date</w:t>
            </w:r>
          </w:p>
        </w:tc>
        <w:tc>
          <w:tcPr>
            <w:tcW w:type="dxa" w:w="4320"/>
          </w:tcPr>
          <w:p>
            <w:r>
              <w:rPr>
                <w:rFonts w:ascii="Calibri" w:hAnsi="Calibri"/>
                <w:sz w:val="22"/>
              </w:rPr>
              <w:t>July 28, 2026 —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on adjusted EPS, with the biggest swing factor being how much of the Marketplace risk adjustment receivable management chooses to recognize in Q2 guidance — the June Wakely data (received post-Q1 earnings) is the single most important catalyst for whether the stock moves higher or lower on the print.</w:t>
      </w:r>
    </w:p>
    <w:p>
      <w:r>
        <w:rPr>
          <w:rFonts w:ascii="Calibri" w:hAnsi="Calibri"/>
          <w:color w:val="525866"/>
          <w:sz w:val="22"/>
        </w:rPr>
        <w:t>Heading into Q2 2026, the bar for CNC looks achievable: consensus sits at ~$0.95 adjusted EPS (current VA consensus $1.13, reflecting post-Q1 raise), and management’s own seasonality guidance called for a “step down from Q1, still profitable” quarter. The Q1 2026 print was a substantial beat — $3.37 actual vs. $2.23 consensus — and management raised full-year adjusted EPS guidance to “greater than $3.40” from “greater than $3.00,” embedding a conservative ~3% Marketplace pre-tax margin (vs. original ~4% target) pending the June Wakely data. Estimate revisions have been broadly stable-to-slightly-lower since the Q1 raise, with Q2 consensus drifting from ~$1.12 in early May to ~$1.13 today, suggesting the Street has not yet fully priced in the potential Marketplace risk adjustment upside that management flagged. The stock has rallied ~47% since the Q1 earnings date (April 28), trading at ~15.6x NTM P/E vs. a historical discount, meaning some recovery is priced in but the multiple remains well below pre-2025 levels. The key wildcard is the June Wakely claims and risk score data: if management confirms a meaningful risk adjustment receivable for the higher-acuity Silver tier membership, the full-year EPS guidance could be raised again toward or above the original ~4% Marketplace margin target, which would be a material positive surprise; conversely, any deterioration in Medicaid HBR beyond the expected seasonal step-up in Q2/Q3 would be the primary downside risk.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heading into Q2 — the Street models a seasonal step-down in EPS from Q1’s $3.37 to ~$1.13, consistent with management’s own guidance. The bigger swing factor is the consolidated HBR (Medical Loss Ratio), where Medicaid is expected to be seasonally elevated in Q2/Q3 and Marketplace risk adjustment recognition could move the needle materially in either direction.</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Operating)</w:t>
            </w:r>
          </w:p>
        </w:tc>
        <w:tc>
          <w:tcPr>
            <w:tcW w:type="dxa" w:w="1234"/>
          </w:tcPr>
          <w:p>
            <w:r>
              <w:rPr>
                <w:rFonts w:ascii="Calibri" w:hAnsi="Calibri"/>
                <w:sz w:val="22"/>
              </w:rPr>
              <w:t>$3.37</w:t>
            </w:r>
          </w:p>
        </w:tc>
        <w:tc>
          <w:tcPr>
            <w:tcW w:type="dxa" w:w="1234"/>
          </w:tcPr>
          <w:p>
            <w:r>
              <w:rPr>
                <w:rFonts w:ascii="Calibri" w:hAnsi="Calibri"/>
                <w:sz w:val="22"/>
              </w:rPr>
              <w:t>-$0.16</w:t>
            </w:r>
          </w:p>
        </w:tc>
        <w:tc>
          <w:tcPr>
            <w:tcW w:type="dxa" w:w="1234"/>
          </w:tcPr>
          <w:p>
            <w:r>
              <w:rPr>
                <w:rFonts w:ascii="Calibri" w:hAnsi="Calibri"/>
                <w:sz w:val="22"/>
              </w:rPr>
              <w:t>$1.13</w:t>
            </w:r>
          </w:p>
        </w:tc>
        <w:tc>
          <w:tcPr>
            <w:tcW w:type="dxa" w:w="1234"/>
          </w:tcPr>
          <w:p>
            <w:r>
              <w:rPr>
                <w:rFonts w:ascii="Calibri" w:hAnsi="Calibri"/>
                <w:sz w:val="22"/>
              </w:rPr>
              <w:t>N/M (prior year loss)</w:t>
            </w:r>
          </w:p>
        </w:tc>
        <w:tc>
          <w:tcPr>
            <w:tcW w:type="dxa" w:w="1234"/>
          </w:tcPr>
          <w:p>
            <w:r>
              <w:rPr>
                <w:rFonts w:ascii="Calibri" w:hAnsi="Calibri"/>
                <w:sz w:val="22"/>
              </w:rPr>
              <w:t>&gt;$3.40 (FY)</w:t>
            </w:r>
          </w:p>
        </w:tc>
        <w:tc>
          <w:tcPr>
            <w:tcW w:type="dxa" w:w="1234"/>
          </w:tcPr>
          <w:p>
            <w:r>
              <w:rPr>
                <w:rFonts w:ascii="Calibri" w:hAnsi="Calibri"/>
                <w:sz w:val="22"/>
              </w:rPr>
              <w:t>FY consensus $3.52 vs. guidance floor &gt;$3.40; ~+3.5% above floor</w:t>
            </w:r>
          </w:p>
        </w:tc>
      </w:tr>
      <w:tr>
        <w:tc>
          <w:tcPr>
            <w:tcW w:type="dxa" w:w="1234"/>
          </w:tcPr>
          <w:p>
            <w:r>
              <w:rPr>
                <w:rFonts w:ascii="Calibri" w:hAnsi="Calibri"/>
                <w:sz w:val="22"/>
              </w:rPr>
              <w:t>Total Revenues</w:t>
            </w:r>
          </w:p>
        </w:tc>
        <w:tc>
          <w:tcPr>
            <w:tcW w:type="dxa" w:w="1234"/>
          </w:tcPr>
          <w:p>
            <w:r>
              <w:rPr>
                <w:rFonts w:ascii="Calibri" w:hAnsi="Calibri"/>
                <w:sz w:val="22"/>
              </w:rPr>
              <w:t>$49.9B</w:t>
            </w:r>
          </w:p>
        </w:tc>
        <w:tc>
          <w:tcPr>
            <w:tcW w:type="dxa" w:w="1234"/>
          </w:tcPr>
          <w:p>
            <w:r>
              <w:rPr>
                <w:rFonts w:ascii="Calibri" w:hAnsi="Calibri"/>
                <w:sz w:val="22"/>
              </w:rPr>
              <w:t>$48.7B</w:t>
            </w:r>
          </w:p>
        </w:tc>
        <w:tc>
          <w:tcPr>
            <w:tcW w:type="dxa" w:w="1234"/>
          </w:tcPr>
          <w:p>
            <w:r>
              <w:rPr>
                <w:rFonts w:ascii="Calibri" w:hAnsi="Calibri"/>
                <w:sz w:val="22"/>
              </w:rPr>
              <w:t>$47.4B</w:t>
            </w:r>
          </w:p>
        </w:tc>
        <w:tc>
          <w:tcPr>
            <w:tcW w:type="dxa" w:w="1234"/>
          </w:tcPr>
          <w:p>
            <w:r>
              <w:rPr>
                <w:rFonts w:ascii="Calibri" w:hAnsi="Calibri"/>
                <w:sz w:val="22"/>
              </w:rPr>
              <w:t>-2.7% YoY</w:t>
            </w:r>
          </w:p>
        </w:tc>
        <w:tc>
          <w:tcPr>
            <w:tcW w:type="dxa" w:w="1234"/>
          </w:tcPr>
          <w:p>
            <w:r>
              <w:rPr>
                <w:rFonts w:ascii="Calibri" w:hAnsi="Calibri"/>
                <w:sz w:val="22"/>
              </w:rPr>
              <w:t>~$190.8B (FY)</w:t>
            </w:r>
          </w:p>
        </w:tc>
        <w:tc>
          <w:tcPr>
            <w:tcW w:type="dxa" w:w="1234"/>
          </w:tcPr>
          <w:p>
            <w:r>
              <w:rPr>
                <w:rFonts w:ascii="Calibri" w:hAnsi="Calibri"/>
                <w:sz w:val="22"/>
              </w:rPr>
              <w:t>FY consensus $190.8B; in line with implied guidance</w:t>
            </w:r>
          </w:p>
        </w:tc>
      </w:tr>
      <w:tr>
        <w:tc>
          <w:tcPr>
            <w:tcW w:type="dxa" w:w="1234"/>
          </w:tcPr>
          <w:p>
            <w:r>
              <w:rPr>
                <w:rFonts w:ascii="Calibri" w:hAnsi="Calibri"/>
                <w:sz w:val="22"/>
              </w:rPr>
              <w:t>Medical Loss Ratio (HBR)</w:t>
            </w:r>
          </w:p>
        </w:tc>
        <w:tc>
          <w:tcPr>
            <w:tcW w:type="dxa" w:w="1234"/>
          </w:tcPr>
          <w:p>
            <w:r>
              <w:rPr>
                <w:rFonts w:ascii="Calibri" w:hAnsi="Calibri"/>
                <w:sz w:val="22"/>
              </w:rPr>
              <w:t>87.3%</w:t>
            </w:r>
          </w:p>
        </w:tc>
        <w:tc>
          <w:tcPr>
            <w:tcW w:type="dxa" w:w="1234"/>
          </w:tcPr>
          <w:p>
            <w:r>
              <w:rPr>
                <w:rFonts w:ascii="Calibri" w:hAnsi="Calibri"/>
                <w:sz w:val="22"/>
              </w:rPr>
              <w:t>92.98%</w:t>
            </w:r>
          </w:p>
        </w:tc>
        <w:tc>
          <w:tcPr>
            <w:tcW w:type="dxa" w:w="1234"/>
          </w:tcPr>
          <w:p>
            <w:r>
              <w:rPr>
                <w:rFonts w:ascii="Calibri" w:hAnsi="Calibri"/>
                <w:sz w:val="22"/>
              </w:rPr>
              <w:t>90.97%</w:t>
            </w:r>
          </w:p>
        </w:tc>
        <w:tc>
          <w:tcPr>
            <w:tcW w:type="dxa" w:w="1234"/>
          </w:tcPr>
          <w:p>
            <w:r>
              <w:rPr>
                <w:rFonts w:ascii="Calibri" w:hAnsi="Calibri"/>
                <w:sz w:val="22"/>
              </w:rPr>
              <w:t>-201 bps YoY</w:t>
            </w:r>
          </w:p>
        </w:tc>
        <w:tc>
          <w:tcPr>
            <w:tcW w:type="dxa" w:w="1234"/>
          </w:tcPr>
          <w:p>
            <w:r>
              <w:rPr>
                <w:rFonts w:ascii="Calibri" w:hAnsi="Calibri"/>
                <w:sz w:val="22"/>
              </w:rPr>
              <w:t>90.9%–91.7% (FY)</w:t>
            </w:r>
          </w:p>
        </w:tc>
        <w:tc>
          <w:tcPr>
            <w:tcW w:type="dxa" w:w="1234"/>
          </w:tcPr>
          <w:p>
            <w:r>
              <w:rPr>
                <w:rFonts w:ascii="Calibri" w:hAnsi="Calibri"/>
                <w:sz w:val="22"/>
              </w:rPr>
              <w:t>Q2 consensus 90.97% vs. FY midpoint 91.3%; within range</w:t>
            </w:r>
          </w:p>
        </w:tc>
      </w:tr>
      <w:tr>
        <w:tc>
          <w:tcPr>
            <w:tcW w:type="dxa" w:w="1234"/>
          </w:tcPr>
          <w:p>
            <w:r>
              <w:rPr>
                <w:rFonts w:ascii="Calibri" w:hAnsi="Calibri"/>
                <w:sz w:val="22"/>
              </w:rPr>
              <w:t>Total Membership</w:t>
            </w:r>
          </w:p>
        </w:tc>
        <w:tc>
          <w:tcPr>
            <w:tcW w:type="dxa" w:w="1234"/>
          </w:tcPr>
          <w:p>
            <w:r>
              <w:rPr>
                <w:rFonts w:ascii="Calibri" w:hAnsi="Calibri"/>
                <w:sz w:val="22"/>
              </w:rPr>
              <w:t>26.3M</w:t>
            </w:r>
          </w:p>
        </w:tc>
        <w:tc>
          <w:tcPr>
            <w:tcW w:type="dxa" w:w="1234"/>
          </w:tcPr>
          <w:p>
            <w:r>
              <w:rPr>
                <w:rFonts w:ascii="Calibri" w:hAnsi="Calibri"/>
                <w:sz w:val="22"/>
              </w:rPr>
              <w:t>28.0M</w:t>
            </w:r>
          </w:p>
        </w:tc>
        <w:tc>
          <w:tcPr>
            <w:tcW w:type="dxa" w:w="1234"/>
          </w:tcPr>
          <w:p>
            <w:r>
              <w:rPr>
                <w:rFonts w:ascii="Calibri" w:hAnsi="Calibri"/>
                <w:sz w:val="22"/>
              </w:rPr>
              <w:t>25.8M</w:t>
            </w:r>
          </w:p>
        </w:tc>
        <w:tc>
          <w:tcPr>
            <w:tcW w:type="dxa" w:w="1234"/>
          </w:tcPr>
          <w:p>
            <w:r>
              <w:rPr>
                <w:rFonts w:ascii="Calibri" w:hAnsi="Calibri"/>
                <w:sz w:val="22"/>
              </w:rPr>
              <w:t>-7.9% YoY</w:t>
            </w:r>
          </w:p>
        </w:tc>
        <w:tc>
          <w:tcPr>
            <w:tcW w:type="dxa" w:w="1234"/>
          </w:tcPr>
          <w:p>
            <w:r>
              <w:rPr>
                <w:rFonts w:ascii="Calibri" w:hAnsi="Calibri"/>
                <w:sz w:val="22"/>
              </w:rPr>
              <w:t>N/A — no explicit membership guidance</w:t>
            </w:r>
          </w:p>
        </w:tc>
        <w:tc>
          <w:tcPr>
            <w:tcW w:type="dxa" w:w="1234"/>
          </w:tcPr>
          <w:p>
            <w:r>
              <w:rPr>
                <w:rFonts w:ascii="Calibri" w:hAnsi="Calibri"/>
                <w:sz w:val="22"/>
              </w:rPr>
              <w:t>N/A</w:t>
            </w:r>
          </w:p>
        </w:tc>
      </w:tr>
      <w:tr>
        <w:tc>
          <w:tcPr>
            <w:tcW w:type="dxa" w:w="1234"/>
          </w:tcPr>
          <w:p>
            <w:r>
              <w:rPr>
                <w:rFonts w:ascii="Calibri" w:hAnsi="Calibri"/>
                <w:sz w:val="22"/>
              </w:rPr>
              <w:t>Medicaid Membership</w:t>
            </w:r>
          </w:p>
        </w:tc>
        <w:tc>
          <w:tcPr>
            <w:tcW w:type="dxa" w:w="1234"/>
          </w:tcPr>
          <w:p>
            <w:r>
              <w:rPr>
                <w:rFonts w:ascii="Calibri" w:hAnsi="Calibri"/>
                <w:sz w:val="22"/>
              </w:rPr>
              <w:t>12.4M</w:t>
            </w:r>
          </w:p>
        </w:tc>
        <w:tc>
          <w:tcPr>
            <w:tcW w:type="dxa" w:w="1234"/>
          </w:tcPr>
          <w:p>
            <w:r>
              <w:rPr>
                <w:rFonts w:ascii="Calibri" w:hAnsi="Calibri"/>
                <w:sz w:val="22"/>
              </w:rPr>
              <w:t>12.8M</w:t>
            </w:r>
          </w:p>
        </w:tc>
        <w:tc>
          <w:tcPr>
            <w:tcW w:type="dxa" w:w="1234"/>
          </w:tcPr>
          <w:p>
            <w:r>
              <w:rPr>
                <w:rFonts w:ascii="Calibri" w:hAnsi="Calibri"/>
                <w:sz w:val="22"/>
              </w:rPr>
              <w:t>12.2M</w:t>
            </w:r>
          </w:p>
        </w:tc>
        <w:tc>
          <w:tcPr>
            <w:tcW w:type="dxa" w:w="1234"/>
          </w:tcPr>
          <w:p>
            <w:r>
              <w:rPr>
                <w:rFonts w:ascii="Calibri" w:hAnsi="Calibri"/>
                <w:sz w:val="22"/>
              </w:rPr>
              <w:t>-4.7% YoY</w:t>
            </w:r>
          </w:p>
        </w:tc>
        <w:tc>
          <w:tcPr>
            <w:tcW w:type="dxa" w:w="1234"/>
          </w:tcPr>
          <w:p>
            <w:r>
              <w:rPr>
                <w:rFonts w:ascii="Calibri" w:hAnsi="Calibri"/>
                <w:sz w:val="22"/>
              </w:rPr>
              <w:t>~6% decline YE-to-YE</w:t>
            </w:r>
          </w:p>
        </w:tc>
        <w:tc>
          <w:tcPr>
            <w:tcW w:type="dxa" w:w="1234"/>
          </w:tcPr>
          <w:p>
            <w:r>
              <w:rPr>
                <w:rFonts w:ascii="Calibri" w:hAnsi="Calibri"/>
                <w:sz w:val="22"/>
              </w:rPr>
              <w:t>Tracking in line with guidance</w:t>
            </w:r>
          </w:p>
        </w:tc>
      </w:tr>
    </w:tbl>
    <w:p>
      <w:r>
        <w:rPr>
          <w:rFonts w:ascii="Calibri" w:hAnsi="Calibri"/>
          <w:color w:val="525866"/>
          <w:sz w:val="22"/>
        </w:rPr>
        <w:t>Sources: Visible Alpha Consensus and Actuals Data. All consensus figures as of July 27, 2026. Q1 2026 actuals and Q2 2025 actuals from Visible Alpha reported figures. FY 2026 guidance from Q1 2026 earnings call (April 28, 2026).</w:t>
      </w:r>
    </w:p>
    <w:p>
      <w:pPr>
        <w:pStyle w:val="Heading3"/>
      </w:pPr>
      <w:r>
        <w:rPr>
          <w:rFonts w:ascii="Calibri" w:hAnsi="Calibri"/>
          <w:b/>
          <w:color w:val="3B4259"/>
          <w:sz w:val="24"/>
        </w:rPr>
        <w:t>Table 2 — Beat/Miss History (Last 8 Quarters — Top 2 KPIs: Adjusted EPS &amp; HBR)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$3.37</w:t>
            </w:r>
          </w:p>
        </w:tc>
        <w:tc>
          <w:tcPr>
            <w:tcW w:type="dxa" w:w="1440"/>
          </w:tcPr>
          <w:p>
            <w:r>
              <w:rPr>
                <w:rFonts w:ascii="Calibri" w:hAnsi="Calibri"/>
                <w:sz w:val="22"/>
              </w:rPr>
              <w:t>$2.23</w:t>
            </w:r>
          </w:p>
        </w:tc>
        <w:tc>
          <w:tcPr>
            <w:tcW w:type="dxa" w:w="1440"/>
          </w:tcPr>
          <w:p>
            <w:r>
              <w:rPr>
                <w:rFonts w:ascii="Calibri" w:hAnsi="Calibri"/>
                <w:b/>
                <w:color w:val="30A46C"/>
                <w:sz w:val="22"/>
              </w:rPr>
              <w:t>+51.1%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HBR</w:t>
            </w:r>
          </w:p>
        </w:tc>
        <w:tc>
          <w:tcPr>
            <w:tcW w:type="dxa" w:w="1440"/>
          </w:tcPr>
          <w:p>
            <w:r>
              <w:rPr>
                <w:rFonts w:ascii="Calibri" w:hAnsi="Calibri"/>
                <w:sz w:val="22"/>
              </w:rPr>
              <w:t>87.3%</w:t>
            </w:r>
          </w:p>
        </w:tc>
        <w:tc>
          <w:tcPr>
            <w:tcW w:type="dxa" w:w="1440"/>
          </w:tcPr>
          <w:p>
            <w:r>
              <w:rPr>
                <w:rFonts w:ascii="Calibri" w:hAnsi="Calibri"/>
                <w:sz w:val="22"/>
              </w:rPr>
              <w:t>88.99%</w:t>
            </w:r>
          </w:p>
        </w:tc>
        <w:tc>
          <w:tcPr>
            <w:tcW w:type="dxa" w:w="1440"/>
          </w:tcPr>
          <w:p>
            <w:r>
              <w:rPr>
                <w:rFonts w:ascii="Calibri" w:hAnsi="Calibri"/>
                <w:b/>
                <w:color w:val="30A46C"/>
                <w:sz w:val="22"/>
              </w:rPr>
              <w:t>+179 bps better</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-$1.19</w:t>
            </w:r>
          </w:p>
        </w:tc>
        <w:tc>
          <w:tcPr>
            <w:tcW w:type="dxa" w:w="1440"/>
          </w:tcPr>
          <w:p>
            <w:r>
              <w:rPr>
                <w:rFonts w:ascii="Calibri" w:hAnsi="Calibri"/>
                <w:sz w:val="22"/>
              </w:rPr>
              <w:t>-$1.23</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HBR</w:t>
            </w:r>
          </w:p>
        </w:tc>
        <w:tc>
          <w:tcPr>
            <w:tcW w:type="dxa" w:w="1440"/>
          </w:tcPr>
          <w:p>
            <w:r>
              <w:rPr>
                <w:rFonts w:ascii="Calibri" w:hAnsi="Calibri"/>
                <w:sz w:val="22"/>
              </w:rPr>
              <w:t>94.3%</w:t>
            </w:r>
          </w:p>
        </w:tc>
        <w:tc>
          <w:tcPr>
            <w:tcW w:type="dxa" w:w="1440"/>
          </w:tcPr>
          <w:p>
            <w:r>
              <w:rPr>
                <w:rFonts w:ascii="Calibri" w:hAnsi="Calibri"/>
                <w:sz w:val="22"/>
              </w:rPr>
              <w:t>93.9%</w:t>
            </w:r>
          </w:p>
        </w:tc>
        <w:tc>
          <w:tcPr>
            <w:tcW w:type="dxa" w:w="1440"/>
          </w:tcPr>
          <w:p>
            <w:r>
              <w:rPr>
                <w:rFonts w:ascii="Calibri" w:hAnsi="Calibri"/>
                <w:b/>
                <w:color w:val="E5484D"/>
                <w:sz w:val="22"/>
              </w:rPr>
              <w:t>-44 bps worse</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$0.50</w:t>
            </w:r>
          </w:p>
        </w:tc>
        <w:tc>
          <w:tcPr>
            <w:tcW w:type="dxa" w:w="1440"/>
          </w:tcPr>
          <w:p>
            <w:r>
              <w:rPr>
                <w:rFonts w:ascii="Calibri" w:hAnsi="Calibri"/>
                <w:sz w:val="22"/>
              </w:rPr>
              <w:t>-$0.14</w:t>
            </w:r>
          </w:p>
        </w:tc>
        <w:tc>
          <w:tcPr>
            <w:tcW w:type="dxa" w:w="1440"/>
          </w:tcPr>
          <w:p>
            <w:r>
              <w:rPr>
                <w:rFonts w:ascii="Calibri" w:hAnsi="Calibri"/>
                <w:b/>
                <w:color w:val="30A46C"/>
                <w:sz w:val="22"/>
              </w:rPr>
              <w:t>N/M (beat loss est.)</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HBR</w:t>
            </w:r>
          </w:p>
        </w:tc>
        <w:tc>
          <w:tcPr>
            <w:tcW w:type="dxa" w:w="1440"/>
          </w:tcPr>
          <w:p>
            <w:r>
              <w:rPr>
                <w:rFonts w:ascii="Calibri" w:hAnsi="Calibri"/>
                <w:sz w:val="22"/>
              </w:rPr>
              <w:t>92.7%</w:t>
            </w:r>
          </w:p>
        </w:tc>
        <w:tc>
          <w:tcPr>
            <w:tcW w:type="dxa" w:w="1440"/>
          </w:tcPr>
          <w:p>
            <w:r>
              <w:rPr>
                <w:rFonts w:ascii="Calibri" w:hAnsi="Calibri"/>
                <w:sz w:val="22"/>
              </w:rPr>
              <w:t>92.8%</w:t>
            </w:r>
          </w:p>
        </w:tc>
        <w:tc>
          <w:tcPr>
            <w:tcW w:type="dxa" w:w="1440"/>
          </w:tcPr>
          <w:p>
            <w:r>
              <w:rPr>
                <w:rFonts w:ascii="Calibri" w:hAnsi="Calibri"/>
                <w:b/>
                <w:color w:val="30A46C"/>
                <w:sz w:val="22"/>
              </w:rPr>
              <w:t>+10 bps better</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-$0.16</w:t>
            </w:r>
          </w:p>
        </w:tc>
        <w:tc>
          <w:tcPr>
            <w:tcW w:type="dxa" w:w="1440"/>
          </w:tcPr>
          <w:p>
            <w:r>
              <w:rPr>
                <w:rFonts w:ascii="Calibri" w:hAnsi="Calibri"/>
                <w:sz w:val="22"/>
              </w:rPr>
              <w:t>$0.09</w:t>
            </w:r>
          </w:p>
        </w:tc>
        <w:tc>
          <w:tcPr>
            <w:tcW w:type="dxa" w:w="1440"/>
          </w:tcPr>
          <w:p>
            <w:r>
              <w:rPr>
                <w:rFonts w:ascii="Calibri" w:hAnsi="Calibri"/>
                <w:b/>
                <w:color w:val="E5484D"/>
                <w:sz w:val="22"/>
              </w:rPr>
              <w:t>N/M (reported loss vs. gain est.)</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HBR</w:t>
            </w:r>
          </w:p>
        </w:tc>
        <w:tc>
          <w:tcPr>
            <w:tcW w:type="dxa" w:w="1440"/>
          </w:tcPr>
          <w:p>
            <w:r>
              <w:rPr>
                <w:rFonts w:ascii="Calibri" w:hAnsi="Calibri"/>
                <w:sz w:val="22"/>
              </w:rPr>
              <w:t>93.0%</w:t>
            </w:r>
          </w:p>
        </w:tc>
        <w:tc>
          <w:tcPr>
            <w:tcW w:type="dxa" w:w="1440"/>
          </w:tcPr>
          <w:p>
            <w:r>
              <w:rPr>
                <w:rFonts w:ascii="Calibri" w:hAnsi="Calibri"/>
                <w:sz w:val="22"/>
              </w:rPr>
              <w:t>92.3%</w:t>
            </w:r>
          </w:p>
        </w:tc>
        <w:tc>
          <w:tcPr>
            <w:tcW w:type="dxa" w:w="1440"/>
          </w:tcPr>
          <w:p>
            <w:r>
              <w:rPr>
                <w:rFonts w:ascii="Calibri" w:hAnsi="Calibri"/>
                <w:b/>
                <w:color w:val="E5484D"/>
                <w:sz w:val="22"/>
              </w:rPr>
              <w:t>-70 bps worse</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$2.90</w:t>
            </w:r>
          </w:p>
        </w:tc>
        <w:tc>
          <w:tcPr>
            <w:tcW w:type="dxa" w:w="1440"/>
          </w:tcPr>
          <w:p>
            <w:r>
              <w:rPr>
                <w:rFonts w:ascii="Calibri" w:hAnsi="Calibri"/>
                <w:sz w:val="22"/>
              </w:rPr>
              <w:t>$2.53</w:t>
            </w:r>
          </w:p>
        </w:tc>
        <w:tc>
          <w:tcPr>
            <w:tcW w:type="dxa" w:w="1440"/>
          </w:tcPr>
          <w:p>
            <w:r>
              <w:rPr>
                <w:rFonts w:ascii="Calibri" w:hAnsi="Calibri"/>
                <w:b/>
                <w:color w:val="30A46C"/>
                <w:sz w:val="22"/>
              </w:rPr>
              <w:t>+14.6%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HBR</w:t>
            </w:r>
          </w:p>
        </w:tc>
        <w:tc>
          <w:tcPr>
            <w:tcW w:type="dxa" w:w="1440"/>
          </w:tcPr>
          <w:p>
            <w:r>
              <w:rPr>
                <w:rFonts w:ascii="Calibri" w:hAnsi="Calibri"/>
                <w:sz w:val="22"/>
              </w:rPr>
              <w:t>87.5%</w:t>
            </w:r>
          </w:p>
        </w:tc>
        <w:tc>
          <w:tcPr>
            <w:tcW w:type="dxa" w:w="1440"/>
          </w:tcPr>
          <w:p>
            <w:r>
              <w:rPr>
                <w:rFonts w:ascii="Calibri" w:hAnsi="Calibri"/>
                <w:sz w:val="22"/>
              </w:rPr>
              <w:t>87.6%</w:t>
            </w:r>
          </w:p>
        </w:tc>
        <w:tc>
          <w:tcPr>
            <w:tcW w:type="dxa" w:w="1440"/>
          </w:tcPr>
          <w:p>
            <w:r>
              <w:rPr>
                <w:rFonts w:ascii="Calibri" w:hAnsi="Calibri"/>
                <w:b/>
                <w:color w:val="30A46C"/>
                <w:sz w:val="22"/>
              </w:rPr>
              <w:t>+10 bps better</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$0.80</w:t>
            </w:r>
          </w:p>
        </w:tc>
        <w:tc>
          <w:tcPr>
            <w:tcW w:type="dxa" w:w="1440"/>
          </w:tcPr>
          <w:p>
            <w:r>
              <w:rPr>
                <w:rFonts w:ascii="Calibri" w:hAnsi="Calibri"/>
                <w:sz w:val="22"/>
              </w:rPr>
              <w:t>$0.49</w:t>
            </w:r>
          </w:p>
        </w:tc>
        <w:tc>
          <w:tcPr>
            <w:tcW w:type="dxa" w:w="1440"/>
          </w:tcPr>
          <w:p>
            <w:r>
              <w:rPr>
                <w:rFonts w:ascii="Calibri" w:hAnsi="Calibri"/>
                <w:b/>
                <w:color w:val="30A46C"/>
                <w:sz w:val="22"/>
              </w:rPr>
              <w:t>+63.3%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HBR</w:t>
            </w:r>
          </w:p>
        </w:tc>
        <w:tc>
          <w:tcPr>
            <w:tcW w:type="dxa" w:w="1440"/>
          </w:tcPr>
          <w:p>
            <w:r>
              <w:rPr>
                <w:rFonts w:ascii="Calibri" w:hAnsi="Calibri"/>
                <w:sz w:val="22"/>
              </w:rPr>
              <w:t>89.6%</w:t>
            </w:r>
          </w:p>
        </w:tc>
        <w:tc>
          <w:tcPr>
            <w:tcW w:type="dxa" w:w="1440"/>
          </w:tcPr>
          <w:p>
            <w:r>
              <w:rPr>
                <w:rFonts w:ascii="Calibri" w:hAnsi="Calibri"/>
                <w:sz w:val="22"/>
              </w:rPr>
              <w:t>90.0%</w:t>
            </w:r>
          </w:p>
        </w:tc>
        <w:tc>
          <w:tcPr>
            <w:tcW w:type="dxa" w:w="1440"/>
          </w:tcPr>
          <w:p>
            <w:r>
              <w:rPr>
                <w:rFonts w:ascii="Calibri" w:hAnsi="Calibri"/>
                <w:b/>
                <w:color w:val="30A46C"/>
                <w:sz w:val="22"/>
              </w:rPr>
              <w:t>+44 bps better</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$1.62</w:t>
            </w:r>
          </w:p>
        </w:tc>
        <w:tc>
          <w:tcPr>
            <w:tcW w:type="dxa" w:w="1440"/>
          </w:tcPr>
          <w:p>
            <w:r>
              <w:rPr>
                <w:rFonts w:ascii="Calibri" w:hAnsi="Calibri"/>
                <w:sz w:val="22"/>
              </w:rPr>
              <w:t>$1.35</w:t>
            </w:r>
          </w:p>
        </w:tc>
        <w:tc>
          <w:tcPr>
            <w:tcW w:type="dxa" w:w="1440"/>
          </w:tcPr>
          <w:p>
            <w:r>
              <w:rPr>
                <w:rFonts w:ascii="Calibri" w:hAnsi="Calibri"/>
                <w:b/>
                <w:color w:val="30A46C"/>
                <w:sz w:val="22"/>
              </w:rPr>
              <w:t>+20.0%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HBR</w:t>
            </w:r>
          </w:p>
        </w:tc>
        <w:tc>
          <w:tcPr>
            <w:tcW w:type="dxa" w:w="1440"/>
          </w:tcPr>
          <w:p>
            <w:r>
              <w:rPr>
                <w:rFonts w:ascii="Calibri" w:hAnsi="Calibri"/>
                <w:sz w:val="22"/>
              </w:rPr>
              <w:t>89.2%</w:t>
            </w:r>
          </w:p>
        </w:tc>
        <w:tc>
          <w:tcPr>
            <w:tcW w:type="dxa" w:w="1440"/>
          </w:tcPr>
          <w:p>
            <w:r>
              <w:rPr>
                <w:rFonts w:ascii="Calibri" w:hAnsi="Calibri"/>
                <w:sz w:val="22"/>
              </w:rPr>
              <w:t>88.8%</w:t>
            </w:r>
          </w:p>
        </w:tc>
        <w:tc>
          <w:tcPr>
            <w:tcW w:type="dxa" w:w="1440"/>
          </w:tcPr>
          <w:p>
            <w:r>
              <w:rPr>
                <w:rFonts w:ascii="Calibri" w:hAnsi="Calibri"/>
                <w:b/>
                <w:color w:val="E5484D"/>
                <w:sz w:val="22"/>
              </w:rPr>
              <w:t>-44 bps worse</w:t>
            </w:r>
          </w:p>
        </w:tc>
        <w:tc>
          <w:tcPr>
            <w:tcW w:type="dxa" w:w="1440"/>
          </w:tcPr>
          <w:p>
            <w:r>
              <w:rPr>
                <w:rFonts w:ascii="Calibri" w:hAnsi="Calibri"/>
                <w:sz w:val="22"/>
              </w:rPr>
              <w:t>MISS</w:t>
            </w:r>
          </w:p>
        </w:tc>
      </w:tr>
    </w:tbl>
    <w:p>
      <w:r>
        <w:rPr>
          <w:rFonts w:ascii="Calibri" w:hAnsi="Calibri"/>
          <w:color w:val="525866"/>
          <w:sz w:val="22"/>
        </w:rPr>
        <w:t>Source: Visible Alpha Consensus and Actuals Data. Pattern: CNC has beaten adjusted EPS consensus in 6 of the last 8 quarters, with the two misses concentrated in Q2 2025 (the trough of the Medicaid HBR deterioration cycle). HBR beats are less consistent — the company has beaten on HBR in 5 of 8 quarters, with misses typically in seasonally elevated Q2/Q3 periods. The Q1 2026 beat magnitude (+51% on EPS) was exceptional and driven by a combination of flu season favorability, weather-related utilization benefit, and genuine fundamental outperformance.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adjusted EPS guidance meaningfully at Q1 earnings (April 28) but embedded a deliberately conservative Marketplace margin assumption (~3% vs. original ~4%) pending June Wakely data. No post-earnings guidance revisions have been issued since April 28. Tone has shifted from cautious/corrective to increasingly confident, with the primary remaining uncertainty being the magnitude of the Marketplace risk adjustment receivable.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&gt;$3.40 (raised from &gt;$3.00 at Q4 2025 earnings)</w:t>
            </w:r>
          </w:p>
        </w:tc>
        <w:tc>
          <w:tcPr>
            <w:tcW w:type="dxa" w:w="1728"/>
          </w:tcPr>
          <w:p>
            <w:r>
              <w:rPr>
                <w:rFonts w:ascii="Calibri" w:hAnsi="Calibri"/>
                <w:sz w:val="22"/>
              </w:rPr>
              <w:t>— (no post-earnings revision)</w:t>
            </w:r>
          </w:p>
        </w:tc>
        <w:tc>
          <w:tcPr>
            <w:tcW w:type="dxa" w:w="1728"/>
          </w:tcPr>
          <w:p>
            <w:r>
              <w:rPr>
                <w:rFonts w:ascii="Calibri" w:hAnsi="Calibri"/>
                <w:sz w:val="22"/>
              </w:rPr>
              <w:t>$3.52</w:t>
            </w:r>
          </w:p>
        </w:tc>
        <w:tc>
          <w:tcPr>
            <w:tcW w:type="dxa" w:w="1728"/>
          </w:tcPr>
          <w:p>
            <w:r>
              <w:rPr>
                <w:rFonts w:ascii="Calibri" w:hAnsi="Calibri"/>
                <w:sz w:val="22"/>
              </w:rPr>
              <w:t>↑ Raised at Q1 2026 earnings; Street sits ~3.5% above guidance floor. Upside risk if June Wakely data supports higher Marketplace margin.</w:t>
            </w:r>
          </w:p>
        </w:tc>
      </w:tr>
      <w:tr>
        <w:tc>
          <w:tcPr>
            <w:tcW w:type="dxa" w:w="1728"/>
          </w:tcPr>
          <w:p>
            <w:r>
              <w:rPr>
                <w:rFonts w:ascii="Calibri" w:hAnsi="Calibri"/>
                <w:sz w:val="22"/>
              </w:rPr>
              <w:t>FY 2026 Consolidated HBR</w:t>
            </w:r>
          </w:p>
        </w:tc>
        <w:tc>
          <w:tcPr>
            <w:tcW w:type="dxa" w:w="1728"/>
          </w:tcPr>
          <w:p>
            <w:r>
              <w:rPr>
                <w:rFonts w:ascii="Calibri" w:hAnsi="Calibri"/>
                <w:sz w:val="22"/>
              </w:rPr>
              <w:t>90.9%–91.7%</w:t>
            </w:r>
          </w:p>
        </w:tc>
        <w:tc>
          <w:tcPr>
            <w:tcW w:type="dxa" w:w="1728"/>
          </w:tcPr>
          <w:p>
            <w:r>
              <w:rPr>
                <w:rFonts w:ascii="Calibri" w:hAnsi="Calibri"/>
                <w:sz w:val="22"/>
              </w:rPr>
              <w:t>—</w:t>
            </w:r>
          </w:p>
        </w:tc>
        <w:tc>
          <w:tcPr>
            <w:tcW w:type="dxa" w:w="1728"/>
          </w:tcPr>
          <w:p>
            <w:r>
              <w:rPr>
                <w:rFonts w:ascii="Calibri" w:hAnsi="Calibri"/>
                <w:sz w:val="22"/>
              </w:rPr>
              <w:t>91.2%</w:t>
            </w:r>
          </w:p>
        </w:tc>
        <w:tc>
          <w:tcPr>
            <w:tcW w:type="dxa" w:w="1728"/>
          </w:tcPr>
          <w:p>
            <w:r>
              <w:rPr>
                <w:rFonts w:ascii="Calibri" w:hAnsi="Calibri"/>
                <w:sz w:val="22"/>
              </w:rPr>
              <w:t>Unchanged since Q1 earnings. Consensus sits near midpoint of range.</w:t>
            </w:r>
          </w:p>
        </w:tc>
      </w:tr>
      <w:tr>
        <w:tc>
          <w:tcPr>
            <w:tcW w:type="dxa" w:w="1728"/>
          </w:tcPr>
          <w:p>
            <w:r>
              <w:rPr>
                <w:rFonts w:ascii="Calibri" w:hAnsi="Calibri"/>
                <w:sz w:val="22"/>
              </w:rPr>
              <w:t>FY 2026 Total Revenue</w:t>
            </w:r>
          </w:p>
        </w:tc>
        <w:tc>
          <w:tcPr>
            <w:tcW w:type="dxa" w:w="1728"/>
          </w:tcPr>
          <w:p>
            <w:r>
              <w:rPr>
                <w:rFonts w:ascii="Calibri" w:hAnsi="Calibri"/>
                <w:sz w:val="22"/>
              </w:rPr>
              <w:t>~$190.8B (raised by ~$1B vs. prior, driven by Texas Medicaid)</w:t>
            </w:r>
          </w:p>
        </w:tc>
        <w:tc>
          <w:tcPr>
            <w:tcW w:type="dxa" w:w="1728"/>
          </w:tcPr>
          <w:p>
            <w:r>
              <w:rPr>
                <w:rFonts w:ascii="Calibri" w:hAnsi="Calibri"/>
                <w:sz w:val="22"/>
              </w:rPr>
              <w:t>—</w:t>
            </w:r>
          </w:p>
        </w:tc>
        <w:tc>
          <w:tcPr>
            <w:tcW w:type="dxa" w:w="1728"/>
          </w:tcPr>
          <w:p>
            <w:r>
              <w:rPr>
                <w:rFonts w:ascii="Calibri" w:hAnsi="Calibri"/>
                <w:sz w:val="22"/>
              </w:rPr>
              <w:t>$190.8B</w:t>
            </w:r>
          </w:p>
        </w:tc>
        <w:tc>
          <w:tcPr>
            <w:tcW w:type="dxa" w:w="1728"/>
          </w:tcPr>
          <w:p>
            <w:r>
              <w:rPr>
                <w:rFonts w:ascii="Calibri" w:hAnsi="Calibri"/>
                <w:sz w:val="22"/>
              </w:rPr>
              <w:t>Consensus in line with guidance. Texas Medicaid premium revenue addition already embedded.</w:t>
            </w:r>
          </w:p>
        </w:tc>
      </w:tr>
      <w:tr>
        <w:tc>
          <w:tcPr>
            <w:tcW w:type="dxa" w:w="1728"/>
          </w:tcPr>
          <w:p>
            <w:r>
              <w:rPr>
                <w:rFonts w:ascii="Calibri" w:hAnsi="Calibri"/>
                <w:sz w:val="22"/>
              </w:rPr>
              <w:t>Marketplace Pre-Tax Margin</w:t>
            </w:r>
          </w:p>
        </w:tc>
        <w:tc>
          <w:tcPr>
            <w:tcW w:type="dxa" w:w="1728"/>
          </w:tcPr>
          <w:p>
            <w:r>
              <w:rPr>
                <w:rFonts w:ascii="Calibri" w:hAnsi="Calibri"/>
                <w:sz w:val="22"/>
              </w:rPr>
              <w:t>~3% (conservatively embedded; original target ~4%)</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Key upside catalyst: June Wakely data could support raising to ~4% or above. Management noted range “wraps around original 4% target and frankly higher at the top end.”</w:t>
            </w:r>
          </w:p>
        </w:tc>
      </w:tr>
      <w:tr>
        <w:tc>
          <w:tcPr>
            <w:tcW w:type="dxa" w:w="1728"/>
          </w:tcPr>
          <w:p>
            <w:r>
              <w:rPr>
                <w:rFonts w:ascii="Calibri" w:hAnsi="Calibri"/>
                <w:sz w:val="22"/>
              </w:rPr>
              <w:t>Consolidated SG&amp;A Ratio</w:t>
            </w:r>
          </w:p>
        </w:tc>
        <w:tc>
          <w:tcPr>
            <w:tcW w:type="dxa" w:w="1728"/>
          </w:tcPr>
          <w:p>
            <w:r>
              <w:rPr>
                <w:rFonts w:ascii="Calibri" w:hAnsi="Calibri"/>
                <w:sz w:val="22"/>
              </w:rPr>
              <w:t>Guidance range lowered by 10 bps at Q1 earnings</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Modest positive; SG&amp;A outperformance in Q1 offset higher Marketplace HBR.</w:t>
            </w:r>
          </w:p>
        </w:tc>
      </w:tr>
      <w:tr>
        <w:tc>
          <w:tcPr>
            <w:tcW w:type="dxa" w:w="1728"/>
          </w:tcPr>
          <w:p>
            <w:r>
              <w:rPr>
                <w:rFonts w:ascii="Calibri" w:hAnsi="Calibri"/>
                <w:sz w:val="22"/>
              </w:rPr>
              <w:t>Q2 2026 EPS Seasonality</w:t>
            </w:r>
          </w:p>
        </w:tc>
        <w:tc>
          <w:tcPr>
            <w:tcW w:type="dxa" w:w="1728"/>
          </w:tcPr>
          <w:p>
            <w:r>
              <w:rPr>
                <w:rFonts w:ascii="Calibri" w:hAnsi="Calibri"/>
                <w:sz w:val="22"/>
              </w:rPr>
              <w:t>Step down from Q1, still profitable; Q3 ~breakeven; Q4 loss</w:t>
            </w:r>
          </w:p>
        </w:tc>
        <w:tc>
          <w:tcPr>
            <w:tcW w:type="dxa" w:w="1728"/>
          </w:tcPr>
          <w:p>
            <w:r>
              <w:rPr>
                <w:rFonts w:ascii="Calibri" w:hAnsi="Calibri"/>
                <w:sz w:val="22"/>
              </w:rPr>
              <w:t>—</w:t>
            </w:r>
          </w:p>
        </w:tc>
        <w:tc>
          <w:tcPr>
            <w:tcW w:type="dxa" w:w="1728"/>
          </w:tcPr>
          <w:p>
            <w:r>
              <w:rPr>
                <w:rFonts w:ascii="Calibri" w:hAnsi="Calibri"/>
                <w:sz w:val="22"/>
              </w:rPr>
              <w:t>$1.13</w:t>
            </w:r>
          </w:p>
        </w:tc>
        <w:tc>
          <w:tcPr>
            <w:tcW w:type="dxa" w:w="1728"/>
          </w:tcPr>
          <w:p>
            <w:r>
              <w:rPr>
                <w:rFonts w:ascii="Calibri" w:hAnsi="Calibri"/>
                <w:sz w:val="22"/>
              </w:rPr>
              <w:t>Consensus consistent with management’s seasonal guidance. Medicaid HBR expected seasonally higher in Q2/Q3.</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Q1 earnings raise — Q2 EPS consensus has drifted only ~-1% from the post-print baseline, and FY EPS is essentially flat. This stability suggests the Street is waiting for the Q2 print and June Wakely data before making further revisions, rather than pre-positioning for upside or downside. The gap between FY consensus ($3.52) and guidance floor (&gt;$3.40) represents modest cushion, not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$1.12</w:t>
            </w:r>
          </w:p>
        </w:tc>
        <w:tc>
          <w:tcPr>
            <w:tcW w:type="dxa" w:w="1080"/>
          </w:tcPr>
          <w:p>
            <w:r>
              <w:rPr>
                <w:rFonts w:ascii="Calibri" w:hAnsi="Calibri"/>
                <w:sz w:val="22"/>
              </w:rPr>
              <w:t>$1.13</w:t>
            </w:r>
          </w:p>
        </w:tc>
        <w:tc>
          <w:tcPr>
            <w:tcW w:type="dxa" w:w="1080"/>
          </w:tcPr>
          <w:p>
            <w:r>
              <w:rPr>
                <w:rFonts w:ascii="Calibri" w:hAnsi="Calibri"/>
                <w:sz w:val="22"/>
              </w:rPr>
              <w:t>+0.9%</w:t>
            </w:r>
          </w:p>
        </w:tc>
        <w:tc>
          <w:tcPr>
            <w:tcW w:type="dxa" w:w="1080"/>
          </w:tcPr>
          <w:p>
            <w:r>
              <w:rPr>
                <w:rFonts w:ascii="Calibri" w:hAnsi="Calibri"/>
                <w:sz w:val="22"/>
              </w:rPr>
              <w:t>Profitable (no specific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specific Q2 guidance</w:t>
            </w:r>
          </w:p>
        </w:tc>
      </w:tr>
      <w:tr>
        <w:tc>
          <w:tcPr>
            <w:tcW w:type="dxa" w:w="1080"/>
          </w:tcPr>
          <w:p>
            <w:r>
              <w:rPr>
                <w:rFonts w:ascii="Calibri" w:hAnsi="Calibri"/>
                <w:sz w:val="22"/>
              </w:rPr>
              <w:t>Adj. EPS — FY 2026</w:t>
            </w:r>
          </w:p>
        </w:tc>
        <w:tc>
          <w:tcPr>
            <w:tcW w:type="dxa" w:w="1080"/>
          </w:tcPr>
          <w:p>
            <w:r>
              <w:rPr>
                <w:rFonts w:ascii="Calibri" w:hAnsi="Calibri"/>
                <w:sz w:val="22"/>
              </w:rPr>
              <w:t>$3.52</w:t>
            </w:r>
          </w:p>
        </w:tc>
        <w:tc>
          <w:tcPr>
            <w:tcW w:type="dxa" w:w="1080"/>
          </w:tcPr>
          <w:p>
            <w:r>
              <w:rPr>
                <w:rFonts w:ascii="Calibri" w:hAnsi="Calibri"/>
                <w:sz w:val="22"/>
              </w:rPr>
              <w:t>$3.52</w:t>
            </w:r>
          </w:p>
        </w:tc>
        <w:tc>
          <w:tcPr>
            <w:tcW w:type="dxa" w:w="1080"/>
          </w:tcPr>
          <w:p>
            <w:r>
              <w:rPr>
                <w:rFonts w:ascii="Calibri" w:hAnsi="Calibri"/>
                <w:sz w:val="22"/>
              </w:rPr>
              <w:t>0.0%</w:t>
            </w:r>
          </w:p>
        </w:tc>
        <w:tc>
          <w:tcPr>
            <w:tcW w:type="dxa" w:w="1080"/>
          </w:tcPr>
          <w:p>
            <w:r>
              <w:rPr>
                <w:rFonts w:ascii="Calibri" w:hAnsi="Calibri"/>
                <w:sz w:val="22"/>
              </w:rPr>
              <w:t>&gt;$3.40</w:t>
            </w:r>
          </w:p>
        </w:tc>
        <w:tc>
          <w:tcPr>
            <w:tcW w:type="dxa" w:w="1080"/>
          </w:tcPr>
          <w:p>
            <w:r>
              <w:rPr>
                <w:rFonts w:ascii="Calibri" w:hAnsi="Calibri"/>
                <w:sz w:val="22"/>
              </w:rPr>
              <w:t>&gt;$3.40 (unchanged)</w:t>
            </w:r>
          </w:p>
        </w:tc>
        <w:tc>
          <w:tcPr>
            <w:tcW w:type="dxa" w:w="1080"/>
          </w:tcPr>
          <w:p>
            <w:r>
              <w:rPr>
                <w:rFonts w:ascii="Calibri" w:hAnsi="Calibri"/>
                <w:sz w:val="22"/>
              </w:rPr>
              <w:t>—</w:t>
            </w:r>
          </w:p>
        </w:tc>
        <w:tc>
          <w:tcPr>
            <w:tcW w:type="dxa" w:w="1080"/>
          </w:tcPr>
          <w:p>
            <w:r>
              <w:rPr>
                <w:rFonts w:ascii="Calibri" w:hAnsi="Calibri"/>
                <w:sz w:val="22"/>
              </w:rPr>
              <w:t>+3.5% above guidance floor</w:t>
            </w:r>
          </w:p>
        </w:tc>
      </w:tr>
      <w:tr>
        <w:tc>
          <w:tcPr>
            <w:tcW w:type="dxa" w:w="1080"/>
          </w:tcPr>
          <w:p>
            <w:r>
              <w:rPr>
                <w:rFonts w:ascii="Calibri" w:hAnsi="Calibri"/>
                <w:sz w:val="22"/>
              </w:rPr>
              <w:t>Total Revenue — Q2 2026</w:t>
            </w:r>
          </w:p>
        </w:tc>
        <w:tc>
          <w:tcPr>
            <w:tcW w:type="dxa" w:w="1080"/>
          </w:tcPr>
          <w:p>
            <w:r>
              <w:rPr>
                <w:rFonts w:ascii="Calibri" w:hAnsi="Calibri"/>
                <w:sz w:val="22"/>
              </w:rPr>
              <w:t>$47.4B</w:t>
            </w:r>
          </w:p>
        </w:tc>
        <w:tc>
          <w:tcPr>
            <w:tcW w:type="dxa" w:w="1080"/>
          </w:tcPr>
          <w:p>
            <w:r>
              <w:rPr>
                <w:rFonts w:ascii="Calibri" w:hAnsi="Calibri"/>
                <w:sz w:val="22"/>
              </w:rPr>
              <w:t>$47.4B</w:t>
            </w:r>
          </w:p>
        </w:tc>
        <w:tc>
          <w:tcPr>
            <w:tcW w:type="dxa" w:w="1080"/>
          </w:tcPr>
          <w:p>
            <w:r>
              <w:rPr>
                <w:rFonts w:ascii="Calibri" w:hAnsi="Calibri"/>
                <w:sz w:val="22"/>
              </w:rPr>
              <w:t>0.0%</w:t>
            </w:r>
          </w:p>
        </w:tc>
        <w:tc>
          <w:tcPr>
            <w:tcW w:type="dxa" w:w="1080"/>
          </w:tcPr>
          <w:p>
            <w:r>
              <w:rPr>
                <w:rFonts w:ascii="Calibri" w:hAnsi="Calibri"/>
                <w:sz w:val="22"/>
              </w:rPr>
              <w:t>N/A (no specific Q2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$190.7B</w:t>
            </w:r>
          </w:p>
        </w:tc>
        <w:tc>
          <w:tcPr>
            <w:tcW w:type="dxa" w:w="1080"/>
          </w:tcPr>
          <w:p>
            <w:r>
              <w:rPr>
                <w:rFonts w:ascii="Calibri" w:hAnsi="Calibri"/>
                <w:sz w:val="22"/>
              </w:rPr>
              <w:t>$190.8B</w:t>
            </w:r>
          </w:p>
        </w:tc>
        <w:tc>
          <w:tcPr>
            <w:tcW w:type="dxa" w:w="1080"/>
          </w:tcPr>
          <w:p>
            <w:r>
              <w:rPr>
                <w:rFonts w:ascii="Calibri" w:hAnsi="Calibri"/>
                <w:sz w:val="22"/>
              </w:rPr>
              <w:t>+0.1%</w:t>
            </w:r>
          </w:p>
        </w:tc>
        <w:tc>
          <w:tcPr>
            <w:tcW w:type="dxa" w:w="1080"/>
          </w:tcPr>
          <w:p>
            <w:r>
              <w:rPr>
                <w:rFonts w:ascii="Calibri" w:hAnsi="Calibri"/>
                <w:sz w:val="22"/>
              </w:rPr>
              <w:t>~$190.8B (implied, raised by ~$1B for Texas Medicaid)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Source: Visible Alpha Consensus and Actuals Data. Estimate baseline (May 5, 2026) represents consensus approximately 5 trading days after the Q1 2026 earnings release (April 28, 2026). The near-zero revision in both Q2 and FY estimates since the post-print baseline reflects a Street in “wait and see” mode ahead of the June Wakely data and Q2 print. The key question is whether management will use the Q2 call to raise FY guidance again — the Marketplace risk adjustment receivable is the primary lever.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CNC has dramatically outperformed both XLV and the S&amp;P 500 since the Q1 2026 earnings date (April 28), driven almost entirely by multiple re-rating and sentiment recovery following the substantial Q1 beat and guidance raise. The stock is up ~47% since April 28 vs. XLV +14% and SPY +3%, with the bulk of the move occurring in the first two weeks post-earnings. The recent pullback from the ~$68–69 range to ~$64 suggests some profit-taking ahead of the print, but the stock remains well above pre-Q1 levels.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CNC vs. XLV (Health Care Select Sector ETF) vs. S&amp;P 500 (SPY) — Indexed to 100 at April 28, 2026 (Q1 2026 Earnings Date). Source: Yahoo Finance / Stock Price Data.</w:t>
      </w:r>
    </w:p>
    <w:p>
      <w:r>
        <w:rPr>
          <w:rFonts w:ascii="Calibri" w:hAnsi="Calibri"/>
          <w:b/>
          <w:color w:val="525866"/>
          <w:sz w:val="22"/>
        </w:rPr>
        <w:t xml:space="preserve">Key observations: </w:t>
      </w:r>
      <w:r>
        <w:rPr>
          <w:rFonts w:ascii="Calibri" w:hAnsi="Calibri"/>
          <w:color w:val="525866"/>
          <w:sz w:val="22"/>
        </w:rPr>
        <w:t>(1) CNC surged ~14% on April 28 (earnings day) and continued rallying through mid-June, peaking near $68–69. (2) XLV was broadly flat-to-modestly-positive over the same period, confirming CNC’s outperformance was company-specific rather than sector-driven. (3) The S&amp;P 500 was essentially flat over the period, further isolating CNC’s move as driven by fundamental re-rating. (4) CNC has pulled back ~6–7% from its recent peak, consistent with pre-earnings profit-taking. The 12-month NTM P/E has expanded from ~7.2x to ~15.6x, with the 3-month move (+53%) driven roughly equally by multiple expansion (+14%) and estimate revisions. Sector ETF used: XLV (Health Care Select Sector SPDR Fund), which is appropriate for CNC’s managed care / health insurance sub-sector.</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Q2 2026 earnings (UNH, ELV, MOH — all reported July 15–23) provide a broadly mixed-to-positive read-through for CNC. The most important signals are: (1) Medicaid cost trends are stabilizing (not accelerating), with the acuity shift from redeterminations largely behind the market; (2) state rate updates are coming in at or above expectations; (3) Marketplace/ACA performance is diverging sharply by company — MOH had a significant adverse selection problem in its shrinking book, while ELV and UNH saw better-than-expected ACA results; and (4) Medicare duals are performing well across the board. CNC’s larger scale and more aggressive Marketplace repricing strategy position it differently from MOH.</w:t>
      </w:r>
    </w:p>
    <w:p>
      <w:r>
        <w:rPr>
          <w:rFonts w:ascii="Calibri" w:hAnsi="Calibri"/>
          <w:b/>
          <w:color w:val="525866"/>
          <w:sz w:val="22"/>
        </w:rPr>
        <w:t xml:space="preserve">Note: </w:t>
      </w:r>
      <w:r>
        <w:rPr>
          <w:rFonts w:ascii="Calibri" w:hAnsi="Calibri"/>
          <w:color w:val="525866"/>
          <w:sz w:val="22"/>
        </w:rPr>
        <w:t>All commentary below is sourced exclusively from Q2 2026 earnings calls and releases (July 2026), reflecting current-quarter (Q2 2026) results and forward outlook. No prior-quarter commentary is included.</w:t>
      </w:r>
    </w:p>
    <w:p>
      <w:pPr>
        <w:pStyle w:val="Heading3"/>
      </w:pPr>
      <w:r>
        <w:rPr>
          <w:rFonts w:ascii="Calibri" w:hAnsi="Calibri"/>
          <w:b/>
          <w:color w:val="3B4259"/>
          <w:sz w:val="24"/>
        </w:rPr>
        <w:t>6A. UnitedHealth Group (UNH) — Q2 2026 Earnings (Reported July 16,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UNH Commentary (Q2 2026)</w:t>
            </w:r>
          </w:p>
        </w:tc>
        <w:tc>
          <w:tcPr>
            <w:tcW w:type="dxa" w:w="2160"/>
            <w:shd w:val="clear" w:color="auto" w:fill="3B4259"/>
          </w:tcPr>
          <w:p>
            <w:r>
              <w:rPr>
                <w:rFonts w:ascii="Calibri" w:hAnsi="Calibri"/>
                <w:b/>
                <w:color w:val="FFFFFF"/>
                <w:sz w:val="22"/>
              </w:rPr>
              <w:t>CNC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Medicaid Utilization &amp; Acuity</w:t>
            </w:r>
          </w:p>
        </w:tc>
        <w:tc>
          <w:tcPr>
            <w:tcW w:type="dxa" w:w="2160"/>
          </w:tcPr>
          <w:p>
            <w:r>
              <w:rPr>
                <w:rFonts w:ascii="Calibri" w:hAnsi="Calibri"/>
                <w:sz w:val="22"/>
              </w:rPr>
              <w:t>"Medicaid business is in line with expectations as we continue to work with states on ensuring appropriate rates. Trend remains elevated versus pre-pandemic levels, but stable with continued pressure in specialty pharmacy, home and community based services, and behavioral health care services." Also noted "a bit of an increase in trend in inpatient and sniff costs for complex populations."</w:t>
            </w:r>
          </w:p>
        </w:tc>
        <w:tc>
          <w:tcPr>
            <w:tcW w:type="dxa" w:w="2160"/>
          </w:tcPr>
          <w:p>
            <w:r>
              <w:rPr>
                <w:rFonts w:ascii="Calibri" w:hAnsi="Calibri"/>
                <w:sz w:val="22"/>
              </w:rPr>
              <w:t>Medicaid trends are stable but not improving. Elevated costs in behavioral health, specialty pharmacy, and HCBS are consistent with CNC’s own guidance. The incremental inpatient/SNF pressure for complex populations is a modest negative watch item for CNC’s high-acuity Medicaid book.</w:t>
            </w:r>
          </w:p>
        </w:tc>
        <w:tc>
          <w:tcPr>
            <w:tcW w:type="dxa" w:w="2160"/>
          </w:tcPr>
          <w:p>
            <w:r>
              <w:rPr>
                <w:rFonts w:ascii="Calibri" w:hAnsi="Calibri"/>
                <w:b/>
                <w:color w:val="E5484D"/>
                <w:sz w:val="22"/>
              </w:rPr>
              <w:t>Mixed — Negative</w:t>
            </w:r>
          </w:p>
        </w:tc>
      </w:tr>
      <w:tr>
        <w:tc>
          <w:tcPr>
            <w:tcW w:type="dxa" w:w="2160"/>
          </w:tcPr>
          <w:p>
            <w:r>
              <w:rPr>
                <w:rFonts w:ascii="Calibri" w:hAnsi="Calibri"/>
                <w:sz w:val="22"/>
              </w:rPr>
              <w:t>State Rate Adequacy</w:t>
            </w:r>
          </w:p>
        </w:tc>
        <w:tc>
          <w:tcPr>
            <w:tcW w:type="dxa" w:w="2160"/>
          </w:tcPr>
          <w:p>
            <w:r>
              <w:rPr>
                <w:rFonts w:ascii="Calibri" w:hAnsi="Calibri"/>
                <w:sz w:val="22"/>
              </w:rPr>
              <w:t>"Annualized 2026 rate impacts will be in the zone of around 6% to 7% and still lagging elevated medical trend." Aggregate YTD rate actions through July 1 accounting for ~80% of annual revenue are "within our expected forecast."</w:t>
            </w:r>
          </w:p>
        </w:tc>
        <w:tc>
          <w:tcPr>
            <w:tcW w:type="dxa" w:w="2160"/>
          </w:tcPr>
          <w:p>
            <w:r>
              <w:rPr>
                <w:rFonts w:ascii="Calibri" w:hAnsi="Calibri"/>
                <w:sz w:val="22"/>
              </w:rPr>
              <w:t>UNH’s 6–7% rate yield is above CNC’s guided ~4.5% composite rate yield, but both companies acknowledge rates are still lagging trend. The explicit acknowledgment that rates are lagging is a negative for near-term Medicaid margins across the sector, including CNC.</w:t>
            </w:r>
          </w:p>
        </w:tc>
        <w:tc>
          <w:tcPr>
            <w:tcW w:type="dxa" w:w="2160"/>
          </w:tcPr>
          <w:p>
            <w:r>
              <w:rPr>
                <w:rFonts w:ascii="Calibri" w:hAnsi="Calibri"/>
                <w:b/>
                <w:color w:val="E5484D"/>
                <w:sz w:val="22"/>
              </w:rPr>
              <w:t>Negative</w:t>
            </w:r>
          </w:p>
        </w:tc>
      </w:tr>
      <w:tr>
        <w:tc>
          <w:tcPr>
            <w:tcW w:type="dxa" w:w="2160"/>
          </w:tcPr>
          <w:p>
            <w:r>
              <w:rPr>
                <w:rFonts w:ascii="Calibri" w:hAnsi="Calibri"/>
                <w:sz w:val="22"/>
              </w:rPr>
              <w:t>Commercial / No Surprises Act (NSA)</w:t>
            </w:r>
          </w:p>
        </w:tc>
        <w:tc>
          <w:tcPr>
            <w:tcW w:type="dxa" w:w="2160"/>
          </w:tcPr>
          <w:p>
            <w:r>
              <w:rPr>
                <w:rFonts w:ascii="Calibri" w:hAnsi="Calibri"/>
                <w:sz w:val="22"/>
              </w:rPr>
              <w:t>"Commercial costs are stubbornly high, rising above expectations... modestly above 11% level" driven by NSA IDR process exploitation. NSA contributing "50 bps of incremental trend in 2026, now totaling at least 100 bps of total cost." "Upwards of 40% of all claims that enter the IDR process are ineligible."</w:t>
            </w:r>
          </w:p>
        </w:tc>
        <w:tc>
          <w:tcPr>
            <w:tcW w:type="dxa" w:w="2160"/>
          </w:tcPr>
          <w:p>
            <w:r>
              <w:rPr>
                <w:rFonts w:ascii="Calibri" w:hAnsi="Calibri"/>
                <w:sz w:val="22"/>
              </w:rPr>
              <w:t>CNC has been aggressively litigating against NSA fraud (multimillion dollar lawsuits against fraudulent providers). UNH’s data confirms the NSA IDR problem is industry-wide and material. CNC’s proactive litigation posture may provide some relative protection, but the headwind is real.</w:t>
            </w:r>
          </w:p>
        </w:tc>
        <w:tc>
          <w:tcPr>
            <w:tcW w:type="dxa" w:w="2160"/>
          </w:tcPr>
          <w:p>
            <w:r>
              <w:rPr>
                <w:rFonts w:ascii="Calibri" w:hAnsi="Calibri"/>
                <w:b/>
                <w:color w:val="E5484D"/>
                <w:sz w:val="22"/>
              </w:rPr>
              <w:t>Negative</w:t>
            </w:r>
          </w:p>
        </w:tc>
      </w:tr>
      <w:tr>
        <w:tc>
          <w:tcPr>
            <w:tcW w:type="dxa" w:w="2160"/>
          </w:tcPr>
          <w:p>
            <w:r>
              <w:rPr>
                <w:rFonts w:ascii="Calibri" w:hAnsi="Calibri"/>
                <w:sz w:val="22"/>
              </w:rPr>
              <w:t>Marketplace / ACA</w:t>
            </w:r>
          </w:p>
        </w:tc>
        <w:tc>
          <w:tcPr>
            <w:tcW w:type="dxa" w:w="2160"/>
          </w:tcPr>
          <w:p>
            <w:r>
              <w:rPr>
                <w:rFonts w:ascii="Calibri" w:hAnsi="Calibri"/>
                <w:sz w:val="22"/>
              </w:rPr>
              <w:t>"Our exchange business is coming in better than our planning expectations." However, UNH has pledged to return profits to consumers for 2026, so "no financial impact inside of the quarter or the full year" for UNH.</w:t>
            </w:r>
          </w:p>
        </w:tc>
        <w:tc>
          <w:tcPr>
            <w:tcW w:type="dxa" w:w="2160"/>
          </w:tcPr>
          <w:p>
            <w:r>
              <w:rPr>
                <w:rFonts w:ascii="Calibri" w:hAnsi="Calibri"/>
                <w:sz w:val="22"/>
              </w:rPr>
              <w:t>Positive read-through: the underlying ACA market is performing better than expected. UNH’s better-than-expected exchange results support CNC’s thesis that the post-APTC market contracted as expected with healthier members staying, supporting CNC’s risk adjustment receivable thesis.</w:t>
            </w:r>
          </w:p>
        </w:tc>
        <w:tc>
          <w:tcPr>
            <w:tcW w:type="dxa" w:w="2160"/>
          </w:tcPr>
          <w:p>
            <w:r>
              <w:rPr>
                <w:rFonts w:ascii="Calibri" w:hAnsi="Calibri"/>
                <w:b/>
                <w:color w:val="30A46C"/>
                <w:sz w:val="22"/>
              </w:rPr>
              <w:t>Positive</w:t>
            </w:r>
          </w:p>
        </w:tc>
      </w:tr>
      <w:tr>
        <w:tc>
          <w:tcPr>
            <w:tcW w:type="dxa" w:w="2160"/>
          </w:tcPr>
          <w:p>
            <w:r>
              <w:rPr>
                <w:rFonts w:ascii="Calibri" w:hAnsi="Calibri"/>
                <w:sz w:val="22"/>
              </w:rPr>
              <w:t>Medicare Advantage</w:t>
            </w:r>
          </w:p>
        </w:tc>
        <w:tc>
          <w:tcPr>
            <w:tcW w:type="dxa" w:w="2160"/>
          </w:tcPr>
          <w:p>
            <w:r>
              <w:rPr>
                <w:rFonts w:ascii="Calibri" w:hAnsi="Calibri"/>
                <w:sz w:val="22"/>
              </w:rPr>
              <w:t>"Medicare delivered a strong second quarter." Full-year MA enrollment expected to decline ~1.1M. Medicare margins to finish 2026 "above 3%." Surgical volumes "pacing in line with expectations."</w:t>
            </w:r>
          </w:p>
        </w:tc>
        <w:tc>
          <w:tcPr>
            <w:tcW w:type="dxa" w:w="2160"/>
          </w:tcPr>
          <w:p>
            <w:r>
              <w:rPr>
                <w:rFonts w:ascii="Calibri" w:hAnsi="Calibri"/>
                <w:sz w:val="22"/>
              </w:rPr>
              <w:t>CNC’s MA business is smaller and focused on D-SNP (duals). UNH’s above-3% MA margin target and stable surgical volumes are modestly positive for the sector. CNC’s 2027 MA breakeven target remains intact.</w:t>
            </w:r>
          </w:p>
        </w:tc>
        <w:tc>
          <w:tcPr>
            <w:tcW w:type="dxa" w:w="2160"/>
          </w:tcPr>
          <w:p>
            <w:r>
              <w:rPr>
                <w:rFonts w:ascii="Calibri" w:hAnsi="Calibri"/>
                <w:b/>
                <w:color w:val="30A46C"/>
                <w:sz w:val="22"/>
              </w:rPr>
              <w:t>Mixed — Positive</w:t>
            </w:r>
          </w:p>
        </w:tc>
      </w:tr>
      <w:tr>
        <w:tc>
          <w:tcPr>
            <w:tcW w:type="dxa" w:w="2160"/>
          </w:tcPr>
          <w:p>
            <w:r>
              <w:rPr>
                <w:rFonts w:ascii="Calibri" w:hAnsi="Calibri"/>
                <w:sz w:val="22"/>
              </w:rPr>
              <w:t>Medicare Stars</w:t>
            </w:r>
          </w:p>
        </w:tc>
        <w:tc>
          <w:tcPr>
            <w:tcW w:type="dxa" w:w="2160"/>
          </w:tcPr>
          <w:p>
            <w:r>
              <w:rPr>
                <w:rFonts w:ascii="Calibri" w:hAnsi="Calibri"/>
                <w:sz w:val="22"/>
              </w:rPr>
              <w:t>"The Stars program has continued to get more challenging in recent years, as evidenced by 2026 industry scores at the lowest level in about a decade."</w:t>
            </w:r>
          </w:p>
        </w:tc>
        <w:tc>
          <w:tcPr>
            <w:tcW w:type="dxa" w:w="2160"/>
          </w:tcPr>
          <w:p>
            <w:r>
              <w:rPr>
                <w:rFonts w:ascii="Calibri" w:hAnsi="Calibri"/>
                <w:sz w:val="22"/>
              </w:rPr>
              <w:t>CNC has been working to improve Stars ratings (target: 60% of members in 3.5+ star plans for 2027 breakeven). Industry-wide Stars deterioration is a headwind, but CNC’s improvement trajectory from a low base may be less affected than larger MA players.</w:t>
            </w:r>
          </w:p>
        </w:tc>
        <w:tc>
          <w:tcPr>
            <w:tcW w:type="dxa" w:w="2160"/>
          </w:tcPr>
          <w:p>
            <w:r>
              <w:rPr>
                <w:rFonts w:ascii="Calibri" w:hAnsi="Calibri"/>
                <w:b/>
                <w:color w:val="E5484D"/>
                <w:sz w:val="22"/>
              </w:rPr>
              <w:t>Negative</w:t>
            </w:r>
          </w:p>
        </w:tc>
      </w:tr>
    </w:tbl>
    <w:p>
      <w:pPr>
        <w:pStyle w:val="Heading3"/>
      </w:pPr>
      <w:r>
        <w:rPr>
          <w:rFonts w:ascii="Calibri" w:hAnsi="Calibri"/>
          <w:b/>
          <w:color w:val="3B4259"/>
          <w:sz w:val="24"/>
        </w:rPr>
        <w:t>6B. Elevance Health (ELV) — Q2 2026 Earnings (Reported July 15,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ELV Commentary (Q2 2026)</w:t>
            </w:r>
          </w:p>
        </w:tc>
        <w:tc>
          <w:tcPr>
            <w:tcW w:type="dxa" w:w="2160"/>
            <w:shd w:val="clear" w:color="auto" w:fill="3B4259"/>
          </w:tcPr>
          <w:p>
            <w:r>
              <w:rPr>
                <w:rFonts w:ascii="Calibri" w:hAnsi="Calibri"/>
                <w:b/>
                <w:color w:val="FFFFFF"/>
                <w:sz w:val="22"/>
              </w:rPr>
              <w:t>CNC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Medicaid Cost Trends</w:t>
            </w:r>
          </w:p>
        </w:tc>
        <w:tc>
          <w:tcPr>
            <w:tcW w:type="dxa" w:w="2160"/>
          </w:tcPr>
          <w:p>
            <w:r>
              <w:rPr>
                <w:rFonts w:ascii="Calibri" w:hAnsi="Calibri"/>
                <w:sz w:val="22"/>
              </w:rPr>
              <w:t>"Medicaid costs trend in the second quarter developed broadly in line with the framework that we expected. Cost drivers remain elevated and concentrated in the categories we have discussed previously, including behavioral health, specialty pharmacy, outpatient surgery, and emergency department utilization." CFO noted: "We are not seeing a new stepwise acuity reset. Membership and acuity remain broadly aligned with our assumptions, and the incremental pressure is increasingly coming from utilization among members who remain in the program."</w:t>
            </w:r>
          </w:p>
        </w:tc>
        <w:tc>
          <w:tcPr>
            <w:tcW w:type="dxa" w:w="2160"/>
          </w:tcPr>
          <w:p>
            <w:r>
              <w:rPr>
                <w:rFonts w:ascii="Calibri" w:hAnsi="Calibri"/>
                <w:sz w:val="22"/>
              </w:rPr>
              <w:t>The absence of a new acuity reset is the most important positive signal for CNC. ELV’s confirmation that the acuity shift is "largely behind us" reduces the risk of a negative surprise from Medicaid membership mix deterioration. Elevated utilization in behavioral health, specialty pharmacy, and outpatient surgery is consistent with CNC’s own trend assumptions.</w:t>
            </w:r>
          </w:p>
        </w:tc>
        <w:tc>
          <w:tcPr>
            <w:tcW w:type="dxa" w:w="2160"/>
          </w:tcPr>
          <w:p>
            <w:r>
              <w:rPr>
                <w:rFonts w:ascii="Calibri" w:hAnsi="Calibri"/>
                <w:b/>
                <w:color w:val="30A46C"/>
                <w:sz w:val="22"/>
              </w:rPr>
              <w:t>Mixed — Positive</w:t>
            </w:r>
          </w:p>
        </w:tc>
      </w:tr>
      <w:tr>
        <w:tc>
          <w:tcPr>
            <w:tcW w:type="dxa" w:w="2160"/>
          </w:tcPr>
          <w:p>
            <w:r>
              <w:rPr>
                <w:rFonts w:ascii="Calibri" w:hAnsi="Calibri"/>
                <w:sz w:val="22"/>
              </w:rPr>
              <w:t>State Rate Updates</w:t>
            </w:r>
          </w:p>
        </w:tc>
        <w:tc>
          <w:tcPr>
            <w:tcW w:type="dxa" w:w="2160"/>
          </w:tcPr>
          <w:p>
            <w:r>
              <w:rPr>
                <w:rFonts w:ascii="Calibri" w:hAnsi="Calibri"/>
                <w:sz w:val="22"/>
              </w:rPr>
              <w:t>"Rate updates received during the quarter were higher than anticipated." July rate activity was "constructive" and "modestly favorable to our expectations." Full-year rate yield now tracking toward "upper end of mid-single digits" vs. original "lower end."</w:t>
            </w:r>
          </w:p>
        </w:tc>
        <w:tc>
          <w:tcPr>
            <w:tcW w:type="dxa" w:w="2160"/>
          </w:tcPr>
          <w:p>
            <w:r>
              <w:rPr>
                <w:rFonts w:ascii="Calibri" w:hAnsi="Calibri"/>
                <w:sz w:val="22"/>
              </w:rPr>
              <w:t>Positive read-through: state rate updates are coming in above expectations across the sector. CNC’s guided ~4.5% composite rate yield may have upside if states are being more generous than anticipated. This is a meaningful positive for Medicaid HBR trajectory.</w:t>
            </w:r>
          </w:p>
        </w:tc>
        <w:tc>
          <w:tcPr>
            <w:tcW w:type="dxa" w:w="2160"/>
          </w:tcPr>
          <w:p>
            <w:r>
              <w:rPr>
                <w:rFonts w:ascii="Calibri" w:hAnsi="Calibri"/>
                <w:b/>
                <w:color w:val="30A46C"/>
                <w:sz w:val="22"/>
              </w:rPr>
              <w:t>Positive</w:t>
            </w:r>
          </w:p>
        </w:tc>
      </w:tr>
      <w:tr>
        <w:tc>
          <w:tcPr>
            <w:tcW w:type="dxa" w:w="2160"/>
          </w:tcPr>
          <w:p>
            <w:r>
              <w:rPr>
                <w:rFonts w:ascii="Calibri" w:hAnsi="Calibri"/>
                <w:sz w:val="22"/>
              </w:rPr>
              <w:t>Marketplace / Risk Adjustment</w:t>
            </w:r>
          </w:p>
        </w:tc>
        <w:tc>
          <w:tcPr>
            <w:tcW w:type="dxa" w:w="2160"/>
          </w:tcPr>
          <w:p>
            <w:r>
              <w:rPr>
                <w:rFonts w:ascii="Calibri" w:hAnsi="Calibri"/>
                <w:sz w:val="22"/>
              </w:rPr>
              <w:t>"Individual ACA business performance is developing broadly consistent with how we priced and planned the year. Member retention has been encouraging, and the composition of the risk pool remains broadly aligned with our assumptions." Final 2025 CMS risk adjustment results were "favorable to our prior estimate" and "reinforced our confidence in our estimation and reserving process." ELV now expects to end 2026 with at least 1 million individual ACA members.</w:t>
            </w:r>
          </w:p>
        </w:tc>
        <w:tc>
          <w:tcPr>
            <w:tcW w:type="dxa" w:w="2160"/>
          </w:tcPr>
          <w:p>
            <w:r>
              <w:rPr>
                <w:rFonts w:ascii="Calibri" w:hAnsi="Calibri"/>
                <w:sz w:val="22"/>
              </w:rPr>
              <w:t>Highly positive for CNC. ELV’s favorable 2025 risk adjustment settlement and encouraging member retention support CNC’s thesis that its higher-acuity Silver tier membership will receive a meaningful risk adjustment receivable. The favorable 2025 settlement is a direct positive data point for CNC’s own risk adjustment accrual assumptions.</w:t>
            </w:r>
          </w:p>
        </w:tc>
        <w:tc>
          <w:tcPr>
            <w:tcW w:type="dxa" w:w="2160"/>
          </w:tcPr>
          <w:p>
            <w:r>
              <w:rPr>
                <w:rFonts w:ascii="Calibri" w:hAnsi="Calibri"/>
                <w:b/>
                <w:color w:val="30A46C"/>
                <w:sz w:val="22"/>
              </w:rPr>
              <w:t>Positive</w:t>
            </w:r>
          </w:p>
        </w:tc>
      </w:tr>
      <w:tr>
        <w:tc>
          <w:tcPr>
            <w:tcW w:type="dxa" w:w="2160"/>
          </w:tcPr>
          <w:p>
            <w:r>
              <w:rPr>
                <w:rFonts w:ascii="Calibri" w:hAnsi="Calibri"/>
                <w:sz w:val="22"/>
              </w:rPr>
              <w:t>Medicare Advantage</w:t>
            </w:r>
          </w:p>
        </w:tc>
        <w:tc>
          <w:tcPr>
            <w:tcW w:type="dxa" w:w="2160"/>
          </w:tcPr>
          <w:p>
            <w:r>
              <w:rPr>
                <w:rFonts w:ascii="Calibri" w:hAnsi="Calibri"/>
                <w:sz w:val="22"/>
              </w:rPr>
              <w:t>"Medicare Advantage reflects the deliberate actions we took to improve performance. Favorable claims experience and the growing impact of our care management programs support our path to at least a 2% operating margin this year. Results were stronger than expected." Also noted "moderately lower surgery trends on ACA."</w:t>
            </w:r>
          </w:p>
        </w:tc>
        <w:tc>
          <w:tcPr>
            <w:tcW w:type="dxa" w:w="2160"/>
          </w:tcPr>
          <w:p>
            <w:r>
              <w:rPr>
                <w:rFonts w:ascii="Calibri" w:hAnsi="Calibri"/>
                <w:sz w:val="22"/>
              </w:rPr>
              <w:t>Positive for CNC’s MA trajectory. ELV’s favorable claims experience and lower surgery trends in Q2 suggest the MA cost environment may be more benign than feared. CNC’s 2027 MA breakeven target is supported by this sector-wide trend.</w:t>
            </w:r>
          </w:p>
        </w:tc>
        <w:tc>
          <w:tcPr>
            <w:tcW w:type="dxa" w:w="2160"/>
          </w:tcPr>
          <w:p>
            <w:r>
              <w:rPr>
                <w:rFonts w:ascii="Calibri" w:hAnsi="Calibri"/>
                <w:b/>
                <w:color w:val="30A46C"/>
                <w:sz w:val="22"/>
              </w:rPr>
              <w:t>Positive</w:t>
            </w:r>
          </w:p>
        </w:tc>
      </w:tr>
      <w:tr>
        <w:tc>
          <w:tcPr>
            <w:tcW w:type="dxa" w:w="2160"/>
          </w:tcPr>
          <w:p>
            <w:r>
              <w:rPr>
                <w:rFonts w:ascii="Calibri" w:hAnsi="Calibri"/>
                <w:sz w:val="22"/>
              </w:rPr>
              <w:t>Medicaid Market Exits</w:t>
            </w:r>
          </w:p>
        </w:tc>
        <w:tc>
          <w:tcPr>
            <w:tcW w:type="dxa" w:w="2160"/>
          </w:tcPr>
          <w:p>
            <w:r>
              <w:rPr>
                <w:rFonts w:ascii="Calibri" w:hAnsi="Calibri"/>
                <w:sz w:val="22"/>
              </w:rPr>
              <w:t>ELV "recently reached a mutual agreement with the District of Columbia to exit the DC Medicaid market" and expects to "exit additional Medicaid markets over the next 12 to 18 months, where we do not see a path to sustainable performance."</w:t>
            </w:r>
          </w:p>
        </w:tc>
        <w:tc>
          <w:tcPr>
            <w:tcW w:type="dxa" w:w="2160"/>
          </w:tcPr>
          <w:p>
            <w:r>
              <w:rPr>
                <w:rFonts w:ascii="Calibri" w:hAnsi="Calibri"/>
                <w:sz w:val="22"/>
              </w:rPr>
              <w:t>Neutral-to-positive for CNC. ELV’s exits could create RFP opportunities for CNC in markets where ELV is withdrawing. CNC’s 30-state Medicaid footprint and local brand strategy position it well to absorb membership from exiting competitors.</w:t>
            </w:r>
          </w:p>
        </w:tc>
        <w:tc>
          <w:tcPr>
            <w:tcW w:type="dxa" w:w="2160"/>
          </w:tcPr>
          <w:p>
            <w:r>
              <w:rPr>
                <w:rFonts w:ascii="Calibri" w:hAnsi="Calibri"/>
                <w:b/>
                <w:color w:val="30A46C"/>
                <w:sz w:val="22"/>
              </w:rPr>
              <w:t>Mixed — Positive</w:t>
            </w:r>
          </w:p>
        </w:tc>
      </w:tr>
      <w:tr>
        <w:tc>
          <w:tcPr>
            <w:tcW w:type="dxa" w:w="2160"/>
          </w:tcPr>
          <w:p>
            <w:r>
              <w:rPr>
                <w:rFonts w:ascii="Calibri" w:hAnsi="Calibri"/>
                <w:sz w:val="22"/>
              </w:rPr>
              <w:t>Work Requirements / Policy</w:t>
            </w:r>
          </w:p>
        </w:tc>
        <w:tc>
          <w:tcPr>
            <w:tcW w:type="dxa" w:w="2160"/>
          </w:tcPr>
          <w:p>
            <w:r>
              <w:rPr>
                <w:rFonts w:ascii="Calibri" w:hAnsi="Calibri"/>
                <w:sz w:val="22"/>
              </w:rPr>
              <w:t>CEO Boudreaux: "When we look at the interim final rule, it doesn’t give us much pause or concern... the changes will be very phased, state specific, and they will be very manageable." Members impacted are "only the Medicaid expansion members and some waiver members. That represents roughly 20% of our overall book."</w:t>
            </w:r>
          </w:p>
        </w:tc>
        <w:tc>
          <w:tcPr>
            <w:tcW w:type="dxa" w:w="2160"/>
          </w:tcPr>
          <w:p>
            <w:r>
              <w:rPr>
                <w:rFonts w:ascii="Calibri" w:hAnsi="Calibri"/>
                <w:sz w:val="22"/>
              </w:rPr>
              <w:t>Positive for CNC. ELV’s measured tone on work requirements is consistent with CNC’s own posture. The confirmation that impacts are limited to ~20% of the book and will be phased reduces tail risk from the One Big Beautiful Bill Act for 2027.</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6C. Molina Healthcare (MOH) — Q2 2026 Earnings (Reported July 22–23,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MOH Commentary (Q2 2026)</w:t>
            </w:r>
          </w:p>
        </w:tc>
        <w:tc>
          <w:tcPr>
            <w:tcW w:type="dxa" w:w="2160"/>
            <w:shd w:val="clear" w:color="auto" w:fill="3B4259"/>
          </w:tcPr>
          <w:p>
            <w:r>
              <w:rPr>
                <w:rFonts w:ascii="Calibri" w:hAnsi="Calibri"/>
                <w:b/>
                <w:color w:val="FFFFFF"/>
                <w:sz w:val="22"/>
              </w:rPr>
              <w:t>CNC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Medicaid Cost Trends</w:t>
            </w:r>
          </w:p>
        </w:tc>
        <w:tc>
          <w:tcPr>
            <w:tcW w:type="dxa" w:w="2160"/>
          </w:tcPr>
          <w:p>
            <w:r>
              <w:rPr>
                <w:rFonts w:ascii="Calibri" w:hAnsi="Calibri"/>
                <w:sz w:val="22"/>
              </w:rPr>
              <w:t>"Medical cost trend in the quarter remained stable and was consistent with our full year guidance of 5%." High cost categories (behavioral health, high-cost drugs, outpatient visits) are "still high cost but stable trend, meaning the trend has plateaued." The 250 bps acuity shift from 2025 "has not recurred this year after two quarters." MOH is "very comfortable at the 5% trend assumption in the first half extending into the second half."</w:t>
            </w:r>
          </w:p>
        </w:tc>
        <w:tc>
          <w:tcPr>
            <w:tcW w:type="dxa" w:w="2160"/>
          </w:tcPr>
          <w:p>
            <w:r>
              <w:rPr>
                <w:rFonts w:ascii="Calibri" w:hAnsi="Calibri"/>
                <w:sz w:val="22"/>
              </w:rPr>
              <w:t>Highly positive for CNC. MOH’s confirmation that the 250 bps acuity shift has not recurred and that trend has plateaued at 5% is the clearest positive read-through in the peer group. CNC’s own mid-4% net trend assumption looks achievable if the sector-wide stabilization holds.</w:t>
            </w:r>
          </w:p>
        </w:tc>
        <w:tc>
          <w:tcPr>
            <w:tcW w:type="dxa" w:w="2160"/>
          </w:tcPr>
          <w:p>
            <w:r>
              <w:rPr>
                <w:rFonts w:ascii="Calibri" w:hAnsi="Calibri"/>
                <w:b/>
                <w:color w:val="30A46C"/>
                <w:sz w:val="22"/>
              </w:rPr>
              <w:t>Positive</w:t>
            </w:r>
          </w:p>
        </w:tc>
      </w:tr>
      <w:tr>
        <w:tc>
          <w:tcPr>
            <w:tcW w:type="dxa" w:w="2160"/>
          </w:tcPr>
          <w:p>
            <w:r>
              <w:rPr>
                <w:rFonts w:ascii="Calibri" w:hAnsi="Calibri"/>
                <w:sz w:val="22"/>
              </w:rPr>
              <w:t>State Rate Adequacy</w:t>
            </w:r>
          </w:p>
        </w:tc>
        <w:tc>
          <w:tcPr>
            <w:tcW w:type="dxa" w:w="2160"/>
          </w:tcPr>
          <w:p>
            <w:r>
              <w:rPr>
                <w:rFonts w:ascii="Calibri" w:hAnsi="Calibri"/>
                <w:sz w:val="22"/>
              </w:rPr>
              <w:t>"Rate updates we received are consistent with our guidance of 4%." MOH estimates the broader Medicaid market is "underfunded by 300 basis points and not sustainable at these funding levels." Optimistic about 2027 rate setting as state actuaries incorporate more recent experience. "55% of our premium scheduled to receive rate updates on January 1st."</w:t>
            </w:r>
          </w:p>
        </w:tc>
        <w:tc>
          <w:tcPr>
            <w:tcW w:type="dxa" w:w="2160"/>
          </w:tcPr>
          <w:p>
            <w:r>
              <w:rPr>
                <w:rFonts w:ascii="Calibri" w:hAnsi="Calibri"/>
                <w:sz w:val="22"/>
              </w:rPr>
              <w:t>Positive for CNC’s 2027 rate outlook. The 300 bps market underfunding thesis, if correct, implies significant rate catch-up ahead. CNC’s own guided ~4.5% composite rate yield is consistent with MOH’s 4% guidance, and both companies see 2027 as the inflection point for rate adequacy.</w:t>
            </w:r>
          </w:p>
        </w:tc>
        <w:tc>
          <w:tcPr>
            <w:tcW w:type="dxa" w:w="2160"/>
          </w:tcPr>
          <w:p>
            <w:r>
              <w:rPr>
                <w:rFonts w:ascii="Calibri" w:hAnsi="Calibri"/>
                <w:b/>
                <w:color w:val="30A46C"/>
                <w:sz w:val="22"/>
              </w:rPr>
              <w:t>Positive</w:t>
            </w:r>
          </w:p>
        </w:tc>
      </w:tr>
      <w:tr>
        <w:tc>
          <w:tcPr>
            <w:tcW w:type="dxa" w:w="2160"/>
          </w:tcPr>
          <w:p>
            <w:r>
              <w:rPr>
                <w:rFonts w:ascii="Calibri" w:hAnsi="Calibri"/>
                <w:sz w:val="22"/>
              </w:rPr>
              <w:t>Marketplace / ACA — IMPORTANT NEGATIVE</w:t>
            </w:r>
          </w:p>
        </w:tc>
        <w:tc>
          <w:tcPr>
            <w:tcW w:type="dxa" w:w="2160"/>
          </w:tcPr>
          <w:p>
            <w:r>
              <w:rPr>
                <w:rFonts w:ascii="Calibri" w:hAnsi="Calibri"/>
                <w:sz w:val="22"/>
              </w:rPr>
              <w:t>MOH’s Q2 Marketplace MCR was 88.9%, "higher than our expectations," driven by "prior year items related to risk adjustment and member reconciliations" and "unfavorable current year member acuity mix." Full-year Marketplace MCR guidance raised from 85.5% to 90%. Full-year Marketplace EPS guidance cut by $1.50/share (from +$0.75 gain to -$0.75 loss). MOH noted: "We had more adverse selection than the rest of the market. And that element of pricing was underestimated." Also: "Not all medical expense is risk adjustable... there’s more of a skew of medical expense that is not risk adjustable" in a declining book.</w:t>
            </w:r>
          </w:p>
        </w:tc>
        <w:tc>
          <w:tcPr>
            <w:tcW w:type="dxa" w:w="2160"/>
          </w:tcPr>
          <w:p>
            <w:r>
              <w:rPr>
                <w:rFonts w:ascii="Calibri" w:hAnsi="Calibri"/>
                <w:sz w:val="22"/>
              </w:rPr>
              <w:t>This is the most important negative read-through for CNC, but context matters critically. MOH has a much smaller, shrinking Marketplace book (~280K members) where adverse selection dynamics are more acute. CNC has ~3.6M Marketplace members with 75% Silver tier renewals and a deliberate repricing strategy. CNC’s risk adjustment thesis is based on higher-acuity Silver membership (not a shrinking book), and management has already embedded conservative assumptions. The MOH experience highlights the risk that non-risk-adjustable costs could be higher than expected, but CNC’s scale and Silver tier concentration make it a different situation.</w:t>
            </w:r>
          </w:p>
        </w:tc>
        <w:tc>
          <w:tcPr>
            <w:tcW w:type="dxa" w:w="2160"/>
          </w:tcPr>
          <w:p>
            <w:r>
              <w:rPr>
                <w:rFonts w:ascii="Calibri" w:hAnsi="Calibri"/>
                <w:b/>
                <w:color w:val="E5484D"/>
                <w:sz w:val="22"/>
              </w:rPr>
              <w:t>Negative (but company-specific)</w:t>
            </w:r>
          </w:p>
        </w:tc>
      </w:tr>
      <w:tr>
        <w:tc>
          <w:tcPr>
            <w:tcW w:type="dxa" w:w="2160"/>
          </w:tcPr>
          <w:p>
            <w:r>
              <w:rPr>
                <w:rFonts w:ascii="Calibri" w:hAnsi="Calibri"/>
                <w:sz w:val="22"/>
              </w:rPr>
              <w:t>Medicare Duals — Strong Positive</w:t>
            </w:r>
          </w:p>
        </w:tc>
        <w:tc>
          <w:tcPr>
            <w:tcW w:type="dxa" w:w="2160"/>
          </w:tcPr>
          <w:p>
            <w:r>
              <w:rPr>
                <w:rFonts w:ascii="Calibri" w:hAnsi="Calibri"/>
                <w:sz w:val="22"/>
              </w:rPr>
              <w:t>MOH’s Q2 Medicare MCR was 90.7%, "very favorable to our expectations" as duals performed "much better than expected." Full-year Medicare MCR guidance improved 180 bps to 92.2%. Inpatient and pharmacy costs "down meaningfully." New year-over-year trend for Medicare duals believed to be 4%. Duals market growing at 12%.</w:t>
            </w:r>
          </w:p>
        </w:tc>
        <w:tc>
          <w:tcPr>
            <w:tcW w:type="dxa" w:w="2160"/>
          </w:tcPr>
          <w:p>
            <w:r>
              <w:rPr>
                <w:rFonts w:ascii="Calibri" w:hAnsi="Calibri"/>
                <w:sz w:val="22"/>
              </w:rPr>
              <w:t>Highly positive for CNC’s Medicare segment. CNC’s D-SNP membership is now 40% of its MA portfolio, and the sector-wide outperformance in duals (lower inpatient, pharmacy, and outpatient costs) directly supports CNC’s 2027 MA breakeven target. A 4% trend in duals is well below what was feared.</w:t>
            </w:r>
          </w:p>
        </w:tc>
        <w:tc>
          <w:tcPr>
            <w:tcW w:type="dxa" w:w="2160"/>
          </w:tcPr>
          <w:p>
            <w:r>
              <w:rPr>
                <w:rFonts w:ascii="Calibri" w:hAnsi="Calibri"/>
                <w:b/>
                <w:color w:val="30A46C"/>
                <w:sz w:val="22"/>
              </w:rPr>
              <w:t>Positive</w:t>
            </w:r>
          </w:p>
        </w:tc>
      </w:tr>
      <w:tr>
        <w:tc>
          <w:tcPr>
            <w:tcW w:type="dxa" w:w="2160"/>
          </w:tcPr>
          <w:p>
            <w:r>
              <w:rPr>
                <w:rFonts w:ascii="Calibri" w:hAnsi="Calibri"/>
                <w:sz w:val="22"/>
              </w:rPr>
              <w:t>Work Requirements / Nebraska</w:t>
            </w:r>
          </w:p>
        </w:tc>
        <w:tc>
          <w:tcPr>
            <w:tcW w:type="dxa" w:w="2160"/>
          </w:tcPr>
          <w:p>
            <w:r>
              <w:rPr>
                <w:rFonts w:ascii="Calibri" w:hAnsi="Calibri"/>
                <w:sz w:val="22"/>
              </w:rPr>
              <w:t>MOH noted Nebraska’s early work requirement implementation highlights two key issues: (1) what types of information states will accept to verify eligibility (self-attestation vs. ex parte), and (2) the definition of medical frailty (Nebraska has "290 pages of diagnosis codes to support medical frailty"). MOH expects Medicaid membership to decline 2–3% annually for three years (8–9% cumulative), but views this as "very gradual and subtle and easy to be rated for."</w:t>
            </w:r>
          </w:p>
        </w:tc>
        <w:tc>
          <w:tcPr>
            <w:tcW w:type="dxa" w:w="2160"/>
          </w:tcPr>
          <w:p>
            <w:r>
              <w:rPr>
                <w:rFonts w:ascii="Calibri" w:hAnsi="Calibri"/>
                <w:sz w:val="22"/>
              </w:rPr>
              <w:t>Positive for CNC. Nebraska is CNC’s real-world test case (CNC operates in Nebraska). MOH’s confirmation that the rollout is gradual and manageable, and that state actuaries can rate for acuity shifts, is consistent with CNC’s own measured posture on work requirements.</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6D. HCA Healthcare (HCA) — Q2 2026 Pre-Announcement (July 14, 2026) — Hospital Read-Through</w:t>
      </w:r>
    </w:p>
    <w:p>
      <w:r>
        <w:rPr>
          <w:rFonts w:ascii="Calibri" w:hAnsi="Calibri"/>
          <w:color w:val="525866"/>
          <w:sz w:val="22"/>
        </w:rPr>
        <w:t xml:space="preserve">HCA pre-announced Q2 2026 results on July 14, 2026, cutting full-year guidance due to a negative payer mix shift driven by an increase in uninsured volume from patients who lost ACA exchange coverage. HCA revised its 2026 estimate for health insurance exchange unfavorable impacts to $1.0–1.2B (from prior $600–900M). This is a </w:t>
      </w:r>
      <w:r>
        <w:rPr>
          <w:rFonts w:ascii="Calibri" w:hAnsi="Calibri"/>
          <w:b/>
          <w:color w:val="E5484D"/>
          <w:sz w:val="22"/>
        </w:rPr>
        <w:t>negative read-through</w:t>
      </w:r>
      <w:r>
        <w:rPr>
          <w:rFonts w:ascii="Calibri" w:hAnsi="Calibri"/>
          <w:color w:val="525866"/>
          <w:sz w:val="22"/>
        </w:rPr>
        <w:t xml:space="preserve"> for CNC’s Marketplace segment: HCA’s data confirms that ACA subsidy expiration is driving meaningful membership loss and payer mix deterioration at hospitals, which is consistent with CNC’s own Marketplace membership attrition guidance (ending 2026 at just over 3M members from ~3.6M at Q1 end). However, CNC’s Marketplace business is on the insurer side — the uninsured volume that hurts HCA represents members who left the market entirely, which is consistent with CNC’s expected attrition and does not necessarily worsen CNC’s risk pool (healthier members are more likely to drop coverage). The HCA data is more negative for hospital operators than for managed care companies with disciplined repricing strategies like CNC.</w:t>
      </w:r>
    </w:p>
    <w:p>
      <w:pPr>
        <w:pStyle w:val="Heading3"/>
      </w:pPr>
      <w:r>
        <w:rPr>
          <w:rFonts w:ascii="Calibri" w:hAnsi="Calibri"/>
          <w:b/>
          <w:color w:val="3B4259"/>
          <w:sz w:val="24"/>
        </w:rPr>
        <w:t>6E. 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Overall Signal for CNC</w:t>
            </w:r>
          </w:p>
        </w:tc>
        <w:tc>
          <w:tcPr>
            <w:tcW w:type="dxa" w:w="2880"/>
            <w:shd w:val="clear" w:color="auto" w:fill="3B4259"/>
          </w:tcPr>
          <w:p>
            <w:r>
              <w:rPr>
                <w:rFonts w:ascii="Calibri" w:hAnsi="Calibri"/>
                <w:b/>
                <w:color w:val="FFFFFF"/>
                <w:sz w:val="22"/>
              </w:rPr>
              <w:t>Key Peer Source</w:t>
            </w:r>
          </w:p>
        </w:tc>
      </w:tr>
      <w:tr>
        <w:tc>
          <w:tcPr>
            <w:tcW w:type="dxa" w:w="2880"/>
          </w:tcPr>
          <w:p>
            <w:r>
              <w:rPr>
                <w:rFonts w:ascii="Calibri" w:hAnsi="Calibri"/>
                <w:sz w:val="22"/>
              </w:rPr>
              <w:t>Medicaid acuity shift — no new reset</w:t>
            </w:r>
          </w:p>
        </w:tc>
        <w:tc>
          <w:tcPr>
            <w:tcW w:type="dxa" w:w="2880"/>
          </w:tcPr>
          <w:p>
            <w:r>
              <w:rPr>
                <w:rFonts w:ascii="Calibri" w:hAnsi="Calibri"/>
                <w:b/>
                <w:color w:val="30A46C"/>
                <w:sz w:val="22"/>
              </w:rPr>
              <w:t>Positive</w:t>
            </w:r>
          </w:p>
        </w:tc>
        <w:tc>
          <w:tcPr>
            <w:tcW w:type="dxa" w:w="2880"/>
          </w:tcPr>
          <w:p>
            <w:r>
              <w:rPr>
                <w:rFonts w:ascii="Calibri" w:hAnsi="Calibri"/>
                <w:sz w:val="22"/>
              </w:rPr>
              <w:t>ELV, MOH</w:t>
            </w:r>
          </w:p>
        </w:tc>
      </w:tr>
      <w:tr>
        <w:tc>
          <w:tcPr>
            <w:tcW w:type="dxa" w:w="2880"/>
          </w:tcPr>
          <w:p>
            <w:r>
              <w:rPr>
                <w:rFonts w:ascii="Calibri" w:hAnsi="Calibri"/>
                <w:sz w:val="22"/>
              </w:rPr>
              <w:t>Medicaid cost trend stabilization at ~5%</w:t>
            </w:r>
          </w:p>
        </w:tc>
        <w:tc>
          <w:tcPr>
            <w:tcW w:type="dxa" w:w="2880"/>
          </w:tcPr>
          <w:p>
            <w:r>
              <w:rPr>
                <w:rFonts w:ascii="Calibri" w:hAnsi="Calibri"/>
                <w:b/>
                <w:color w:val="30A46C"/>
                <w:sz w:val="22"/>
              </w:rPr>
              <w:t>Positive</w:t>
            </w:r>
          </w:p>
        </w:tc>
        <w:tc>
          <w:tcPr>
            <w:tcW w:type="dxa" w:w="2880"/>
          </w:tcPr>
          <w:p>
            <w:r>
              <w:rPr>
                <w:rFonts w:ascii="Calibri" w:hAnsi="Calibri"/>
                <w:sz w:val="22"/>
              </w:rPr>
              <w:t>MOH</w:t>
            </w:r>
          </w:p>
        </w:tc>
      </w:tr>
      <w:tr>
        <w:tc>
          <w:tcPr>
            <w:tcW w:type="dxa" w:w="2880"/>
          </w:tcPr>
          <w:p>
            <w:r>
              <w:rPr>
                <w:rFonts w:ascii="Calibri" w:hAnsi="Calibri"/>
                <w:sz w:val="22"/>
              </w:rPr>
              <w:t>State rate updates at or above expectations</w:t>
            </w:r>
          </w:p>
        </w:tc>
        <w:tc>
          <w:tcPr>
            <w:tcW w:type="dxa" w:w="2880"/>
          </w:tcPr>
          <w:p>
            <w:r>
              <w:rPr>
                <w:rFonts w:ascii="Calibri" w:hAnsi="Calibri"/>
                <w:b/>
                <w:color w:val="30A46C"/>
                <w:sz w:val="22"/>
              </w:rPr>
              <w:t>Positive</w:t>
            </w:r>
          </w:p>
        </w:tc>
        <w:tc>
          <w:tcPr>
            <w:tcW w:type="dxa" w:w="2880"/>
          </w:tcPr>
          <w:p>
            <w:r>
              <w:rPr>
                <w:rFonts w:ascii="Calibri" w:hAnsi="Calibri"/>
                <w:sz w:val="22"/>
              </w:rPr>
              <w:t>ELV, MOH</w:t>
            </w:r>
          </w:p>
        </w:tc>
      </w:tr>
      <w:tr>
        <w:tc>
          <w:tcPr>
            <w:tcW w:type="dxa" w:w="2880"/>
          </w:tcPr>
          <w:p>
            <w:r>
              <w:rPr>
                <w:rFonts w:ascii="Calibri" w:hAnsi="Calibri"/>
                <w:sz w:val="22"/>
              </w:rPr>
              <w:t>ACA/Marketplace risk adjustment — favorable 2025 settlement</w:t>
            </w:r>
          </w:p>
        </w:tc>
        <w:tc>
          <w:tcPr>
            <w:tcW w:type="dxa" w:w="2880"/>
          </w:tcPr>
          <w:p>
            <w:r>
              <w:rPr>
                <w:rFonts w:ascii="Calibri" w:hAnsi="Calibri"/>
                <w:b/>
                <w:color w:val="30A46C"/>
                <w:sz w:val="22"/>
              </w:rPr>
              <w:t>Positive</w:t>
            </w:r>
          </w:p>
        </w:tc>
        <w:tc>
          <w:tcPr>
            <w:tcW w:type="dxa" w:w="2880"/>
          </w:tcPr>
          <w:p>
            <w:r>
              <w:rPr>
                <w:rFonts w:ascii="Calibri" w:hAnsi="Calibri"/>
                <w:sz w:val="22"/>
              </w:rPr>
              <w:t>ELV</w:t>
            </w:r>
          </w:p>
        </w:tc>
      </w:tr>
      <w:tr>
        <w:tc>
          <w:tcPr>
            <w:tcW w:type="dxa" w:w="2880"/>
          </w:tcPr>
          <w:p>
            <w:r>
              <w:rPr>
                <w:rFonts w:ascii="Calibri" w:hAnsi="Calibri"/>
                <w:sz w:val="22"/>
              </w:rPr>
              <w:t>ACA/Marketplace — adverse selection in shrinking books</w:t>
            </w:r>
          </w:p>
        </w:tc>
        <w:tc>
          <w:tcPr>
            <w:tcW w:type="dxa" w:w="2880"/>
          </w:tcPr>
          <w:p>
            <w:r>
              <w:rPr>
                <w:rFonts w:ascii="Calibri" w:hAnsi="Calibri"/>
                <w:b/>
                <w:color w:val="E5484D"/>
                <w:sz w:val="22"/>
              </w:rPr>
              <w:t>Negative (company-specific to MOH)</w:t>
            </w:r>
          </w:p>
        </w:tc>
        <w:tc>
          <w:tcPr>
            <w:tcW w:type="dxa" w:w="2880"/>
          </w:tcPr>
          <w:p>
            <w:r>
              <w:rPr>
                <w:rFonts w:ascii="Calibri" w:hAnsi="Calibri"/>
                <w:sz w:val="22"/>
              </w:rPr>
              <w:t>MOH</w:t>
            </w:r>
          </w:p>
        </w:tc>
      </w:tr>
      <w:tr>
        <w:tc>
          <w:tcPr>
            <w:tcW w:type="dxa" w:w="2880"/>
          </w:tcPr>
          <w:p>
            <w:r>
              <w:rPr>
                <w:rFonts w:ascii="Calibri" w:hAnsi="Calibri"/>
                <w:sz w:val="22"/>
              </w:rPr>
              <w:t>Medicare duals — strong outperformance</w:t>
            </w:r>
          </w:p>
        </w:tc>
        <w:tc>
          <w:tcPr>
            <w:tcW w:type="dxa" w:w="2880"/>
          </w:tcPr>
          <w:p>
            <w:r>
              <w:rPr>
                <w:rFonts w:ascii="Calibri" w:hAnsi="Calibri"/>
                <w:b/>
                <w:color w:val="30A46C"/>
                <w:sz w:val="22"/>
              </w:rPr>
              <w:t>Positive</w:t>
            </w:r>
          </w:p>
        </w:tc>
        <w:tc>
          <w:tcPr>
            <w:tcW w:type="dxa" w:w="2880"/>
          </w:tcPr>
          <w:p>
            <w:r>
              <w:rPr>
                <w:rFonts w:ascii="Calibri" w:hAnsi="Calibri"/>
                <w:sz w:val="22"/>
              </w:rPr>
              <w:t>MOH, ELV</w:t>
            </w:r>
          </w:p>
        </w:tc>
      </w:tr>
      <w:tr>
        <w:tc>
          <w:tcPr>
            <w:tcW w:type="dxa" w:w="2880"/>
          </w:tcPr>
          <w:p>
            <w:r>
              <w:rPr>
                <w:rFonts w:ascii="Calibri" w:hAnsi="Calibri"/>
                <w:sz w:val="22"/>
              </w:rPr>
              <w:t>NSA / IDR cost pressure in commercial</w:t>
            </w:r>
          </w:p>
        </w:tc>
        <w:tc>
          <w:tcPr>
            <w:tcW w:type="dxa" w:w="2880"/>
          </w:tcPr>
          <w:p>
            <w:r>
              <w:rPr>
                <w:rFonts w:ascii="Calibri" w:hAnsi="Calibri"/>
                <w:b/>
                <w:color w:val="E5484D"/>
                <w:sz w:val="22"/>
              </w:rPr>
              <w:t>Negative</w:t>
            </w:r>
          </w:p>
        </w:tc>
        <w:tc>
          <w:tcPr>
            <w:tcW w:type="dxa" w:w="2880"/>
          </w:tcPr>
          <w:p>
            <w:r>
              <w:rPr>
                <w:rFonts w:ascii="Calibri" w:hAnsi="Calibri"/>
                <w:sz w:val="22"/>
              </w:rPr>
              <w:t>UNH</w:t>
            </w:r>
          </w:p>
        </w:tc>
      </w:tr>
      <w:tr>
        <w:tc>
          <w:tcPr>
            <w:tcW w:type="dxa" w:w="2880"/>
          </w:tcPr>
          <w:p>
            <w:r>
              <w:rPr>
                <w:rFonts w:ascii="Calibri" w:hAnsi="Calibri"/>
                <w:sz w:val="22"/>
              </w:rPr>
              <w:t>Work requirements — gradual and manageable</w:t>
            </w:r>
          </w:p>
        </w:tc>
        <w:tc>
          <w:tcPr>
            <w:tcW w:type="dxa" w:w="2880"/>
          </w:tcPr>
          <w:p>
            <w:r>
              <w:rPr>
                <w:rFonts w:ascii="Calibri" w:hAnsi="Calibri"/>
                <w:b/>
                <w:color w:val="30A46C"/>
                <w:sz w:val="22"/>
              </w:rPr>
              <w:t>Positive</w:t>
            </w:r>
          </w:p>
        </w:tc>
        <w:tc>
          <w:tcPr>
            <w:tcW w:type="dxa" w:w="2880"/>
          </w:tcPr>
          <w:p>
            <w:r>
              <w:rPr>
                <w:rFonts w:ascii="Calibri" w:hAnsi="Calibri"/>
                <w:sz w:val="22"/>
              </w:rPr>
              <w:t>ELV, MOH</w:t>
            </w:r>
          </w:p>
        </w:tc>
      </w:tr>
      <w:tr>
        <w:tc>
          <w:tcPr>
            <w:tcW w:type="dxa" w:w="2880"/>
          </w:tcPr>
          <w:p>
            <w:r>
              <w:rPr>
                <w:rFonts w:ascii="Calibri" w:hAnsi="Calibri"/>
                <w:sz w:val="22"/>
              </w:rPr>
              <w:t>ACA subsidy expiration — hospital payer mix impact</w:t>
            </w:r>
          </w:p>
        </w:tc>
        <w:tc>
          <w:tcPr>
            <w:tcW w:type="dxa" w:w="2880"/>
          </w:tcPr>
          <w:p>
            <w:r>
              <w:rPr>
                <w:rFonts w:ascii="Calibri" w:hAnsi="Calibri"/>
                <w:b/>
                <w:color w:val="E5484D"/>
                <w:sz w:val="22"/>
              </w:rPr>
              <w:t>Negative (hospital-specific)</w:t>
            </w:r>
          </w:p>
        </w:tc>
        <w:tc>
          <w:tcPr>
            <w:tcW w:type="dxa" w:w="2880"/>
          </w:tcPr>
          <w:p>
            <w:r>
              <w:rPr>
                <w:rFonts w:ascii="Calibri" w:hAnsi="Calibri"/>
                <w:sz w:val="22"/>
              </w:rPr>
              <w:t>HCA</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receipt of the June Wakely data (claims and risk score data across the ACA market), which management flagged as the key catalyst for potentially raising Marketplace margin guidance from ~3% toward the original ~4% target. No public disclosure of the June Wakely data has been made, but management will almost certainly address it on the Q2 call. Secondary developments include a new board appointment and the Nebraska work requirement launch.</w:t>
      </w:r>
    </w:p>
    <w:p>
      <w:pPr>
        <w:pStyle w:val="ListBullet"/>
        <w:ind w:left="360" w:hanging="360"/>
      </w:pPr>
      <w:r>
        <w:rPr>
          <w:rFonts w:ascii="Calibri" w:hAnsi="Calibri"/>
          <w:b/>
          <w:color w:val="525866"/>
          <w:sz w:val="22"/>
        </w:rPr>
        <w:t xml:space="preserve">June Wakely Data (Received ~June 2026, not publicly disclosed): </w:t>
      </w:r>
      <w:r>
        <w:rPr>
          <w:rFonts w:ascii="Calibri" w:hAnsi="Calibri"/>
          <w:i/>
          <w:color w:val="525866"/>
          <w:sz w:val="22"/>
        </w:rPr>
        <w:t xml:space="preserve">Management explicitly flagged on the Q1 call that the June Wakely claims and risk score data would be "key to allowing us to further refine" the Marketplace risk adjustment assumption. The current guidance embeds a conservative ~3% Marketplace pre-tax margin; if the June data confirms the higher-acuity Silver tier receivable, management could raise this to ~4% or above, implying meaningful FY EPS upside. This is the single most important item for the Q2 print. </w:t>
      </w:r>
      <w:r>
        <w:rPr>
          <w:rFonts w:ascii="Calibri" w:hAnsi="Calibri"/>
          <w:b/>
          <w:color w:val="525866"/>
          <w:sz w:val="22"/>
        </w:rPr>
        <w:t xml:space="preserve">Implication: </w:t>
      </w:r>
      <w:r>
        <w:rPr>
          <w:rFonts w:ascii="Calibri" w:hAnsi="Calibri"/>
          <w:color w:val="525866"/>
          <w:sz w:val="22"/>
        </w:rPr>
        <w:t>Positive if confirmed; the range management described "wraps around the original 4% target and frankly higher at the top end."</w:t>
      </w:r>
    </w:p>
    <w:p>
      <w:pPr>
        <w:pStyle w:val="ListBullet"/>
        <w:ind w:left="360" w:hanging="360"/>
      </w:pPr>
      <w:r>
        <w:rPr>
          <w:rFonts w:ascii="Calibri" w:hAnsi="Calibri"/>
          <w:b/>
          <w:color w:val="525866"/>
          <w:sz w:val="22"/>
        </w:rPr>
        <w:t xml:space="preserve">Nebraska Medicaid Work Requirements Launch (Effective July 1, 2026): </w:t>
      </w:r>
      <w:r>
        <w:rPr>
          <w:rFonts w:ascii="Calibri" w:hAnsi="Calibri"/>
          <w:i/>
          <w:color w:val="525866"/>
          <w:sz w:val="22"/>
        </w:rPr>
        <w:t xml:space="preserve">Nebraska became the first state to implement Medicaid work requirements under the One Big Beautiful Bill Act, effective July 1, 2026. CNC operates in Nebraska and management has described this as an instructive real-world test case. MOH’s Q2 commentary confirmed the rollout is gradual, with the two key implementation issues being eligibility verification methodology and the definition of medical frailty. </w:t>
      </w:r>
      <w:r>
        <w:rPr>
          <w:rFonts w:ascii="Calibri" w:hAnsi="Calibri"/>
          <w:b/>
          <w:color w:val="525866"/>
          <w:sz w:val="22"/>
        </w:rPr>
        <w:t xml:space="preserve">Implication: </w:t>
      </w:r>
      <w:r>
        <w:rPr>
          <w:rFonts w:ascii="Calibri" w:hAnsi="Calibri"/>
          <w:color w:val="525866"/>
          <w:sz w:val="22"/>
        </w:rPr>
        <w:t>Neutral-to-positive; early data from Nebraska will inform CNC’s 2027 planning assumptions and state rate negotiations.</w:t>
      </w:r>
    </w:p>
    <w:p>
      <w:pPr>
        <w:pStyle w:val="ListBullet"/>
        <w:ind w:left="360" w:hanging="360"/>
      </w:pPr>
      <w:r>
        <w:rPr>
          <w:rFonts w:ascii="Calibri" w:hAnsi="Calibri"/>
          <w:b/>
          <w:color w:val="525866"/>
          <w:sz w:val="22"/>
        </w:rPr>
        <w:t xml:space="preserve">Board Appointment — Lauren Tyler (Effective June 19, 2026; Disclosed June 22, 2026): </w:t>
      </w:r>
      <w:r>
        <w:rPr>
          <w:rFonts w:ascii="Calibri" w:hAnsi="Calibri"/>
          <w:i/>
          <w:color w:val="525866"/>
          <w:sz w:val="22"/>
        </w:rPr>
        <w:t xml:space="preserve">CNC appointed Lauren M. Tyler to its Board of Directors, effective June 19, 2026 (disclosed via 8-K on June 22, 2026). Tyler brings 30+ years of financial and human capital leadership experience, including senior roles at JPMorgan Chase. She will serve on the Audit Committee and Compensation and Talent Committee. CEO Sarah London noted Tyler’s "track record guiding global, complex organizations through transformation." </w:t>
      </w:r>
      <w:r>
        <w:rPr>
          <w:rFonts w:ascii="Calibri" w:hAnsi="Calibri"/>
          <w:b/>
          <w:color w:val="525866"/>
          <w:sz w:val="22"/>
        </w:rPr>
        <w:t xml:space="preserve">Implication: </w:t>
      </w:r>
      <w:r>
        <w:rPr>
          <w:rFonts w:ascii="Calibri" w:hAnsi="Calibri"/>
          <w:color w:val="525866"/>
          <w:sz w:val="22"/>
        </w:rPr>
        <w:t>Governance positive; no direct earnings impact. Note: effective date (June 19) precedes disclosure date (June 22).</w:t>
      </w:r>
    </w:p>
    <w:p>
      <w:pPr>
        <w:pStyle w:val="ListBullet"/>
        <w:ind w:left="360" w:hanging="360"/>
      </w:pPr>
      <w:r>
        <w:rPr>
          <w:rFonts w:ascii="Calibri" w:hAnsi="Calibri"/>
          <w:b/>
          <w:color w:val="525866"/>
          <w:sz w:val="22"/>
        </w:rPr>
        <w:t xml:space="preserve">UNH Q2 2026 Beat and Guidance Raise (July 16, 2026): </w:t>
      </w:r>
      <w:r>
        <w:rPr>
          <w:rFonts w:ascii="Calibri" w:hAnsi="Calibri"/>
          <w:i/>
          <w:color w:val="525866"/>
          <w:sz w:val="22"/>
        </w:rPr>
        <w:t xml:space="preserve">UNH reported Q2 adjusted EPS of $6.38 vs. consensus $4.89 and raised FY guidance to $19.50–$20.00 from prior floor of &gt;$18.25. The stock rose ~8%. UNH’s strong print and guidance raise lifted managed care sentiment broadly and contributed to CNC’s stock performance in mid-July. </w:t>
      </w:r>
      <w:r>
        <w:rPr>
          <w:rFonts w:ascii="Calibri" w:hAnsi="Calibri"/>
          <w:b/>
          <w:color w:val="525866"/>
          <w:sz w:val="22"/>
        </w:rPr>
        <w:t xml:space="preserve">Implication: </w:t>
      </w:r>
      <w:r>
        <w:rPr>
          <w:rFonts w:ascii="Calibri" w:hAnsi="Calibri"/>
          <w:color w:val="525866"/>
          <w:sz w:val="22"/>
        </w:rPr>
        <w:t>Positive sector read-through; confirms managed care cost trends are improving.</w:t>
      </w:r>
    </w:p>
    <w:p>
      <w:pPr>
        <w:pStyle w:val="ListBullet"/>
        <w:ind w:left="360" w:hanging="360"/>
      </w:pPr>
      <w:r>
        <w:rPr>
          <w:rFonts w:ascii="Calibri" w:hAnsi="Calibri"/>
          <w:b/>
          <w:color w:val="525866"/>
          <w:sz w:val="22"/>
        </w:rPr>
        <w:t xml:space="preserve">ELV Q2 2026 Results and CEO Stock Purchase (July 15–17, 2026): </w:t>
      </w:r>
      <w:r>
        <w:rPr>
          <w:rFonts w:ascii="Calibri" w:hAnsi="Calibri"/>
          <w:i/>
          <w:color w:val="525866"/>
          <w:sz w:val="22"/>
        </w:rPr>
        <w:t xml:space="preserve">ELV reported Q2 EPS of $7.45 vs. consensus $6.18 but raised FY guidance by less than the beat, causing the stock to fall ~8.8%. Notably, CEO Gail Boudreaux purchased 2,725 shares (~$1M) on July 17 at $366–$369/share following the post-earnings selloff — a strong insider confidence signal. </w:t>
      </w:r>
      <w:r>
        <w:rPr>
          <w:rFonts w:ascii="Calibri" w:hAnsi="Calibri"/>
          <w:b/>
          <w:color w:val="525866"/>
          <w:sz w:val="22"/>
        </w:rPr>
        <w:t xml:space="preserve">Implication: </w:t>
      </w:r>
      <w:r>
        <w:rPr>
          <w:rFonts w:ascii="Calibri" w:hAnsi="Calibri"/>
          <w:color w:val="525866"/>
          <w:sz w:val="22"/>
        </w:rPr>
        <w:t>Mixed for CNC; ELV’s beat confirms sector improvement, but the market’s negative reaction to a “small beat and raise” is a reminder that CNC’s bar is also elevated after the Q1 rally.</w:t>
      </w:r>
    </w:p>
    <w:p>
      <w:pPr>
        <w:pStyle w:val="ListBullet"/>
        <w:ind w:left="360" w:hanging="360"/>
      </w:pPr>
      <w:r>
        <w:rPr>
          <w:rFonts w:ascii="Calibri" w:hAnsi="Calibri"/>
          <w:b/>
          <w:color w:val="525866"/>
          <w:sz w:val="22"/>
        </w:rPr>
        <w:t xml:space="preserve">MOH Q2 2026 Marketplace Guidance Cut (July 22–23, 2026): </w:t>
      </w:r>
      <w:r>
        <w:rPr>
          <w:rFonts w:ascii="Calibri" w:hAnsi="Calibri"/>
          <w:i/>
          <w:color w:val="525866"/>
          <w:sz w:val="22"/>
        </w:rPr>
        <w:t xml:space="preserve">MOH cut full-year Marketplace EPS guidance by $1.50/share due to adverse selection and non-risk-adjustable costs in its shrinking ACA book. The stock fell on the news. </w:t>
      </w:r>
      <w:r>
        <w:rPr>
          <w:rFonts w:ascii="Calibri" w:hAnsi="Calibri"/>
          <w:b/>
          <w:color w:val="525866"/>
          <w:sz w:val="22"/>
        </w:rPr>
        <w:t xml:space="preserve">Implication: </w:t>
      </w:r>
      <w:r>
        <w:rPr>
          <w:rFonts w:ascii="Calibri" w:hAnsi="Calibri"/>
          <w:color w:val="525866"/>
          <w:sz w:val="22"/>
        </w:rPr>
        <w:t>Negative headline read-through for CNC Marketplace, but CNC’s situation is fundamentally different (larger, growing book with deliberate repricing vs. MOH’s shrinking book).</w:t>
      </w:r>
    </w:p>
    <w:p>
      <w:pPr>
        <w:pStyle w:val="ListBullet"/>
        <w:ind w:left="360" w:hanging="360"/>
      </w:pPr>
      <w:r>
        <w:rPr>
          <w:rFonts w:ascii="Calibri" w:hAnsi="Calibri"/>
          <w:b/>
          <w:color w:val="525866"/>
          <w:sz w:val="22"/>
        </w:rPr>
        <w:t xml:space="preserve">HCA Healthcare Guidance Cut (July 14, 2026): </w:t>
      </w:r>
      <w:r>
        <w:rPr>
          <w:rFonts w:ascii="Calibri" w:hAnsi="Calibri"/>
          <w:i/>
          <w:color w:val="525866"/>
          <w:sz w:val="22"/>
        </w:rPr>
        <w:t xml:space="preserve">HCA pre-announced Q2 results and cut FY guidance, citing a $1.0–1.2B unfavorable impact from ACA subsidy expiration (vs. prior $600–900M estimate). The stock fell ~9–10%. </w:t>
      </w:r>
      <w:r>
        <w:rPr>
          <w:rFonts w:ascii="Calibri" w:hAnsi="Calibri"/>
          <w:b/>
          <w:color w:val="525866"/>
          <w:sz w:val="22"/>
        </w:rPr>
        <w:t xml:space="preserve">Implication: </w:t>
      </w:r>
      <w:r>
        <w:rPr>
          <w:rFonts w:ascii="Calibri" w:hAnsi="Calibri"/>
          <w:color w:val="525866"/>
          <w:sz w:val="22"/>
        </w:rPr>
        <w:t>Confirms ACA subsidy expiration is having a real impact on the healthcare system, consistent with CNC’s own Marketplace membership attrition guidance.</w:t>
      </w:r>
    </w:p>
    <w:p>
      <w:pPr>
        <w:pStyle w:val="ListBullet"/>
        <w:ind w:left="360" w:hanging="360"/>
      </w:pPr>
      <w:r>
        <w:rPr>
          <w:rFonts w:ascii="Calibri" w:hAnsi="Calibri"/>
          <w:b/>
          <w:color w:val="525866"/>
          <w:sz w:val="22"/>
        </w:rPr>
        <w:t xml:space="preserve">CVS Health / Caremark FTC Settlement (July 14, 2026): </w:t>
      </w:r>
      <w:r>
        <w:rPr>
          <w:rFonts w:ascii="Calibri" w:hAnsi="Calibri"/>
          <w:i/>
          <w:color w:val="525866"/>
          <w:sz w:val="22"/>
        </w:rPr>
        <w:t xml:space="preserve">CVS’s Caremark finalized a settlement with the FTC agreeing to curb rebate use and count TrumpRx purchases toward deductibles. </w:t>
      </w:r>
      <w:r>
        <w:rPr>
          <w:rFonts w:ascii="Calibri" w:hAnsi="Calibri"/>
          <w:b/>
          <w:color w:val="525866"/>
          <w:sz w:val="22"/>
        </w:rPr>
        <w:t xml:space="preserve">Implication: </w:t>
      </w:r>
      <w:r>
        <w:rPr>
          <w:rFonts w:ascii="Calibri" w:hAnsi="Calibri"/>
          <w:color w:val="525866"/>
          <w:sz w:val="22"/>
        </w:rPr>
        <w:t>Indirect; PBM reform could affect specialty drug cost dynamics for managed care companies including CNC.</w:t>
      </w:r>
    </w:p>
    <w:p>
      <w:pPr>
        <w:pStyle w:val="ListBullet"/>
        <w:ind w:left="360" w:hanging="360"/>
      </w:pPr>
      <w:r>
        <w:rPr>
          <w:rFonts w:ascii="Calibri" w:hAnsi="Calibri"/>
          <w:b/>
          <w:color w:val="525866"/>
          <w:sz w:val="22"/>
        </w:rPr>
        <w:t xml:space="preserve">CMS Bridge Program for GLP-1 Access (Announced ~Q2 2026): </w:t>
      </w:r>
      <w:r>
        <w:rPr>
          <w:rFonts w:ascii="Calibri" w:hAnsi="Calibri"/>
          <w:i/>
          <w:color w:val="525866"/>
          <w:sz w:val="22"/>
        </w:rPr>
        <w:t xml:space="preserve">CMS launched a Bridge pilot program providing Medicare patients access to GLP-1 obesity drugs at $50/month copay. CNC management expressed support on the Q1 call. </w:t>
      </w:r>
      <w:r>
        <w:rPr>
          <w:rFonts w:ascii="Calibri" w:hAnsi="Calibri"/>
          <w:b/>
          <w:color w:val="525866"/>
          <w:sz w:val="22"/>
        </w:rPr>
        <w:t xml:space="preserve">Implication: </w:t>
      </w:r>
      <w:r>
        <w:rPr>
          <w:rFonts w:ascii="Calibri" w:hAnsi="Calibri"/>
          <w:color w:val="525866"/>
          <w:sz w:val="22"/>
        </w:rPr>
        <w:t>Modest positive for CNC’s Medicare segment member experience; potential cost headwind if utilization is higher than expected, but CNC has embedded this in its 2026 Medicare bids.</w:t>
      </w:r>
    </w:p>
    <w:p>
      <w:pPr>
        <w:pStyle w:val="ListBullet"/>
        <w:ind w:left="360" w:hanging="360"/>
      </w:pPr>
      <w:r>
        <w:rPr>
          <w:rFonts w:ascii="Calibri" w:hAnsi="Calibri"/>
          <w:b/>
          <w:color w:val="525866"/>
          <w:sz w:val="22"/>
        </w:rPr>
        <w:t xml:space="preserve">Analyst / Sector Sentiment Shift (July 13, 2026): </w:t>
      </w:r>
      <w:r>
        <w:rPr>
          <w:rFonts w:ascii="Calibri" w:hAnsi="Calibri"/>
          <w:i/>
          <w:color w:val="525866"/>
          <w:sz w:val="22"/>
        </w:rPr>
        <w:t xml:space="preserve">Wells Fargo upgraded Humana (HUM) to Overweight on July 13, citing moderating Medicare Advantage cost trends. An analyst noted that over the past month, evidence suggests cost trends are coming down "potentially in an unprecedented way," and predicted a rotation toward managed care and away from hospitals. </w:t>
      </w:r>
      <w:r>
        <w:rPr>
          <w:rFonts w:ascii="Calibri" w:hAnsi="Calibri"/>
          <w:b/>
          <w:color w:val="525866"/>
          <w:sz w:val="22"/>
        </w:rPr>
        <w:t xml:space="preserve">Implication: </w:t>
      </w:r>
      <w:r>
        <w:rPr>
          <w:rFonts w:ascii="Calibri" w:hAnsi="Calibri"/>
          <w:color w:val="525866"/>
          <w:sz w:val="22"/>
        </w:rPr>
        <w:t>Positive sector tailwind for CNC; confirms the managed care recovery thesis that has driven CNC’s stock higher since Q1 earnings.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 since the Q1 2026 earnings date is a discretionary open-market sale by Director Kenneth Burdick on June 10, 2026 — a meaningful sale of 80,000 shares (~$5.2M at prevailing prices) with no 10b5-1 plan. This is worth flagging given its size and discretionary nature, though director sales are less informative than C-suite transactions. No open-market buys have been filed since Q1 earnings, and no 10b5-1 plan initiations have been disclosed.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Kenneth A. Burdick</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80,000 shares</w:t>
            </w:r>
          </w:p>
        </w:tc>
        <w:tc>
          <w:tcPr>
            <w:tcW w:type="dxa" w:w="1234"/>
          </w:tcPr>
          <w:p>
            <w:r>
              <w:rPr>
                <w:rFonts w:ascii="Calibri" w:hAnsi="Calibri"/>
                <w:sz w:val="22"/>
              </w:rPr>
              <w:t>June 10, 2026</w:t>
            </w:r>
          </w:p>
        </w:tc>
        <w:tc>
          <w:tcPr>
            <w:tcW w:type="dxa" w:w="1234"/>
          </w:tcPr>
          <w:p>
            <w:r>
              <w:rPr>
                <w:rFonts w:ascii="Calibri" w:hAnsi="Calibri"/>
                <w:sz w:val="22"/>
              </w:rPr>
              <w:t>June 11, 2026</w:t>
            </w:r>
          </w:p>
        </w:tc>
        <w:tc>
          <w:tcPr>
            <w:tcW w:type="dxa" w:w="1234"/>
          </w:tcPr>
          <w:p>
            <w:r>
              <w:rPr>
                <w:rFonts w:ascii="Calibri" w:hAnsi="Calibri"/>
                <w:sz w:val="22"/>
              </w:rPr>
              <w:t>Discretionary sale (no 10b5-1 plan). Sold at ~$65/share (estimated based on prevailing price). Retained ~197,086 shares post-sale. Notable size for a director sale.</w:t>
            </w:r>
          </w:p>
        </w:tc>
      </w:tr>
    </w:tbl>
    <w:p>
      <w:r>
        <w:rPr>
          <w:rFonts w:ascii="Calibri" w:hAnsi="Calibri"/>
          <w:color w:val="525866"/>
          <w:sz w:val="22"/>
        </w:rPr>
        <w:t>Source: SEC Form 4 Filings Database. Transaction date (June 10, 2026) reflects when the trade was executed; filing date (June 11, 2026) reflects when it was disclosed to the SEC. The sale occurred approximately 6 weeks after the Q1 2026 earnings beat and guidance raise, when the stock was trading near $65. The discretionary nature of the sale (no 10b5-1 plan) is worth noting, but director sales are generally less informative than C-suite transactions and may reflect personal liquidity needs. No C-suite open-market sales or buys have been filed since Q1 earnings. The absence of insider buying despite the stock’s significant recovery from its 2025 lows is neutral — management may be in a blackout period ahead of the Q2 print.</w:t>
      </w:r>
    </w:p>
    <w:p>
      <w:r>
        <w:rPr>
          <w:rFonts w:ascii="Calibri" w:hAnsi="Calibri"/>
          <w:b/>
          <w:color w:val="525866"/>
          <w:sz w:val="22"/>
        </w:rPr>
        <w:t xml:space="preserve">Contrast with ELV: </w:t>
      </w:r>
      <w:r>
        <w:rPr>
          <w:rFonts w:ascii="Calibri" w:hAnsi="Calibri"/>
          <w:color w:val="525866"/>
          <w:sz w:val="22"/>
        </w:rPr>
        <w:t>ELV CEO Gail Boudreaux purchased ~$1M of ELV stock on July 17, 2026 following the post-earnings selloff — a strong insider confidence signal at a peer. No comparable buy signal exists for CNC insiders at this time.</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actuals, and revision history. Source: https://insights.visiblealpha.com/mex/CNC/NMV/IS and https://insights.visiblealpha.com/mex/CNC/NMV/MB</w:t>
      </w:r>
    </w:p>
    <w:p>
      <w:pPr>
        <w:pStyle w:val="ListBullet"/>
        <w:ind w:left="360" w:hanging="360"/>
      </w:pPr>
      <w:r>
        <w:rPr>
          <w:rFonts w:ascii="Calibri" w:hAnsi="Calibri"/>
          <w:b/>
          <w:color w:val="525866"/>
          <w:sz w:val="22"/>
        </w:rPr>
        <w:t>Stock Price Data</w:t>
      </w:r>
      <w:r>
        <w:rPr>
          <w:rFonts w:ascii="Calibri" w:hAnsi="Calibri"/>
          <w:color w:val="525866"/>
          <w:sz w:val="22"/>
        </w:rPr>
        <w:t xml:space="preserve"> — CNC, XLV, SPY daily closing prices. Source: Yahoo Finance.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Burdick sale: https://www.sec.gov/Archives/edgar/data/1071739/000107173926000127/xslF345X06/wk-form4_1781212935.xml</w:t>
      </w:r>
    </w:p>
    <w:p>
      <w:pPr>
        <w:pStyle w:val="ListBullet"/>
        <w:ind w:left="360" w:hanging="360"/>
      </w:pPr>
      <w:r>
        <w:rPr>
          <w:rFonts w:ascii="Calibri" w:hAnsi="Calibri"/>
          <w:b/>
          <w:color w:val="525866"/>
          <w:sz w:val="22"/>
        </w:rPr>
        <w:t>CNC Q1 2026 Earnings Call Transcript</w:t>
      </w:r>
      <w:r>
        <w:rPr>
          <w:rFonts w:ascii="Calibri" w:hAnsi="Calibri"/>
          <w:color w:val="525866"/>
          <w:sz w:val="22"/>
        </w:rPr>
        <w:t xml:space="preserve"> — April 28, 2026. Source: documents/CNC/transcript/earnings/2026Q1/raw_document.txt</w:t>
      </w:r>
    </w:p>
    <w:p>
      <w:pPr>
        <w:pStyle w:val="ListBullet"/>
        <w:ind w:left="360" w:hanging="360"/>
      </w:pPr>
      <w:r>
        <w:rPr>
          <w:rFonts w:ascii="Calibri" w:hAnsi="Calibri"/>
          <w:b/>
          <w:color w:val="525866"/>
          <w:sz w:val="22"/>
        </w:rPr>
        <w:t>CNC Q1 2026 Earnings Release</w:t>
      </w:r>
      <w:r>
        <w:rPr>
          <w:rFonts w:ascii="Calibri" w:hAnsi="Calibri"/>
          <w:color w:val="525866"/>
          <w:sz w:val="22"/>
        </w:rPr>
        <w:t xml:space="preserve"> — April 27, 2026. Source: documents/CNC/Earnings Release/2026Q1/raw_document.pdf</w:t>
      </w:r>
    </w:p>
    <w:p>
      <w:pPr>
        <w:pStyle w:val="ListBullet"/>
        <w:ind w:left="360" w:hanging="360"/>
      </w:pPr>
      <w:r>
        <w:rPr>
          <w:rFonts w:ascii="Calibri" w:hAnsi="Calibri"/>
          <w:b/>
          <w:color w:val="525866"/>
          <w:sz w:val="22"/>
        </w:rPr>
        <w:t>CNC 8-K — Board Appointment (Lauren Tyler)</w:t>
      </w:r>
      <w:r>
        <w:rPr>
          <w:rFonts w:ascii="Calibri" w:hAnsi="Calibri"/>
          <w:color w:val="525866"/>
          <w:sz w:val="22"/>
        </w:rPr>
        <w:t xml:space="preserve"> — Filed June 22, 2026; effective June 19, 2026. Source: documents/CNC/8K/000107173926000132/</w:t>
      </w:r>
    </w:p>
    <w:p>
      <w:pPr>
        <w:pStyle w:val="ListBullet"/>
        <w:ind w:left="360" w:hanging="360"/>
      </w:pPr>
      <w:r>
        <w:rPr>
          <w:rFonts w:ascii="Calibri" w:hAnsi="Calibri"/>
          <w:b/>
          <w:color w:val="525866"/>
          <w:sz w:val="22"/>
        </w:rPr>
        <w:t>UNH Q2 2026 Earnings Call Transcript</w:t>
      </w:r>
      <w:r>
        <w:rPr>
          <w:rFonts w:ascii="Calibri" w:hAnsi="Calibri"/>
          <w:color w:val="525866"/>
          <w:sz w:val="22"/>
        </w:rPr>
        <w:t xml:space="preserve"> — July 16, 2026. Source: documents/UNH/transcript/earnings/2026Q2/raw_document.txt</w:t>
      </w:r>
    </w:p>
    <w:p>
      <w:pPr>
        <w:pStyle w:val="ListBullet"/>
        <w:ind w:left="360" w:hanging="360"/>
      </w:pPr>
      <w:r>
        <w:rPr>
          <w:rFonts w:ascii="Calibri" w:hAnsi="Calibri"/>
          <w:b/>
          <w:color w:val="525866"/>
          <w:sz w:val="22"/>
        </w:rPr>
        <w:t>ELV Q2 2026 Earnings Call Transcript</w:t>
      </w:r>
      <w:r>
        <w:rPr>
          <w:rFonts w:ascii="Calibri" w:hAnsi="Calibri"/>
          <w:color w:val="525866"/>
          <w:sz w:val="22"/>
        </w:rPr>
        <w:t xml:space="preserve"> — July 15, 2026. Source: documents/ELV/transcript/earnings/2026Q2/raw_document.txt</w:t>
      </w:r>
    </w:p>
    <w:p>
      <w:pPr>
        <w:pStyle w:val="ListBullet"/>
        <w:ind w:left="360" w:hanging="360"/>
      </w:pPr>
      <w:r>
        <w:rPr>
          <w:rFonts w:ascii="Calibri" w:hAnsi="Calibri"/>
          <w:b/>
          <w:color w:val="525866"/>
          <w:sz w:val="22"/>
        </w:rPr>
        <w:t>MOH Q2 2026 Earnings Call Transcript</w:t>
      </w:r>
      <w:r>
        <w:rPr>
          <w:rFonts w:ascii="Calibri" w:hAnsi="Calibri"/>
          <w:color w:val="525866"/>
          <w:sz w:val="22"/>
        </w:rPr>
        <w:t xml:space="preserve"> — July 22–23, 2026. Source: documents/MOH/transcript/earnings/2026Q2/raw_document.txt</w:t>
      </w:r>
    </w:p>
    <w:p>
      <w:pPr>
        <w:pStyle w:val="ListBullet"/>
        <w:ind w:left="360" w:hanging="360"/>
      </w:pPr>
      <w:r>
        <w:rPr>
          <w:rFonts w:ascii="Calibri" w:hAnsi="Calibri"/>
          <w:b/>
          <w:color w:val="525866"/>
          <w:sz w:val="22"/>
        </w:rPr>
        <w:t>HCA Q2 2026 Pre-Announcement 8-K</w:t>
      </w:r>
      <w:r>
        <w:rPr>
          <w:rFonts w:ascii="Calibri" w:hAnsi="Calibri"/>
          <w:color w:val="525866"/>
          <w:sz w:val="22"/>
        </w:rPr>
        <w:t xml:space="preserve"> — July 14, 2026. Source: https://www.sec.gov/Archives/edgar/data/860730/000119312526302539/hca-20260714.htm</w:t>
      </w:r>
    </w:p>
    <w:p>
      <w:pPr>
        <w:pStyle w:val="ListBullet"/>
        <w:ind w:left="360" w:hanging="360"/>
      </w:pPr>
      <w:r>
        <w:rPr>
          <w:rFonts w:ascii="Calibri" w:hAnsi="Calibri"/>
          <w:b/>
          <w:color w:val="525866"/>
          <w:sz w:val="22"/>
        </w:rPr>
        <w:t>News Digest / Daily News</w:t>
      </w:r>
      <w:r>
        <w:rPr>
          <w:rFonts w:ascii="Calibri" w:hAnsi="Calibri"/>
          <w:color w:val="525866"/>
          <w:sz w:val="22"/>
        </w:rPr>
        <w:t xml:space="preserve"> — Various healthcare sector news items, July 2026. Source: Implied News Aggregation.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