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CenterPoint Energy (CNP) before writing the earnings preview. Let me gather information from multiple sources.Let me read the most recent earnings materials and check recent news.Let me get recent news, stock price data, and the year-ago Q2 for comparison.Let me pull the year-ago Q2 details and check for any recent news across a broader window.Let me check current analyst consensus expectations for the upcoming quarter.I now have what I need. Let me compute a couple of performance figures before writing.Here is the earnings preview.</w:t>
      </w:r>
    </w:p>
    <w:bookmarkStart w:id="18" w:name="Xa045bf71bbe251b96cf5b546f059f4ca48307bd"/>
    <w:p>
      <w:pPr>
        <w:pStyle w:val="Heading1"/>
      </w:pPr>
      <w:r>
        <w:t xml:space="preserve">CenterPoint Energy (CNP) — Q2 2026 Earnings Preview</w:t>
      </w:r>
    </w:p>
    <w:bookmarkStart w:id="9" w:name="X568a7790e9cc3cd7cddc21648a78988ee48ef04"/>
    <w:p>
      <w:pPr>
        <w:pStyle w:val="Heading3"/>
      </w:pPr>
      <w:r>
        <w:t xml:space="preserve">Reports before market open, Tuesday, July 28, 2026 | 2026Q2 Earnings Call</w:t>
      </w:r>
    </w:p>
    <w:bookmarkEnd w:id="9"/>
    <w:bookmarkStart w:id="10" w:name="the-one-liner"/>
    <w:p>
      <w:pPr>
        <w:pStyle w:val="Heading2"/>
      </w:pPr>
      <w:r>
        <w:t xml:space="preserve">The one-liner</w:t>
      </w:r>
    </w:p>
    <w:p>
      <w:pPr>
        <w:pStyle w:val="FirstParagraph"/>
      </w:pPr>
      <w:r>
        <w:t xml:space="preserve">CenterPoint has quietly become one of the best-positioned load-growth stories in the regulated utility space. Going into Q2, the numbers themselves are almost secondary — the report is really a checkpoint on Houston's accelerating data-center/industrial load pipeline, the timing of incremental transmission capex, and the follow-through on a heavily de-risked financing plan. Management has effectively pre-committed to "at least the midpoint" of full-year guidance, so the debate is about the trajectory of upside, not whether the quarter clears.</w:t>
      </w:r>
    </w:p>
    <w:p>
      <w:r>
        <w:pict>
          <v:rect style="width:0;height:1.5pt" o:hralign="center" o:hrstd="t" o:hr="t"/>
        </w:pict>
      </w:r>
    </w:p>
    <w:bookmarkEnd w:id="10"/>
    <w:bookmarkStart w:id="11" w:name="what-the-street-is-looking-for"/>
    <w:p>
      <w:pPr>
        <w:pStyle w:val="Heading2"/>
      </w:pPr>
      <w:r>
        <w:t xml:space="preserve">What the Street is looking for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YoY</w:t>
            </w:r>
          </w:p>
        </w:tc>
      </w:tr>
      <w:tr>
        <w:tc>
          <w:tcPr/>
          <w:p>
            <w:pPr>
              <w:pStyle w:val="Compact"/>
            </w:pPr>
            <w:r>
              <w:t xml:space="preserve">Non-GAAP EPS</w:t>
            </w:r>
          </w:p>
        </w:tc>
        <w:tc>
          <w:tcPr/>
          <w:p>
            <w:pPr>
              <w:pStyle w:val="Compact"/>
            </w:pPr>
            <w:r>
              <w:t xml:space="preserve">~$0.36–0.38</w:t>
            </w:r>
          </w:p>
        </w:tc>
        <w:tc>
          <w:tcPr/>
          <w:p>
            <w:pPr>
              <w:pStyle w:val="Compact"/>
            </w:pPr>
            <w:r>
              <w:t xml:space="preserve">$0.29</w:t>
            </w:r>
          </w:p>
        </w:tc>
        <w:tc>
          <w:tcPr/>
          <w:p>
            <w:pPr>
              <w:pStyle w:val="Compact"/>
            </w:pPr>
            <w:r>
              <w:t xml:space="preserve">~+25% to +31%</w:t>
            </w:r>
          </w:p>
        </w:tc>
      </w:tr>
      <w:tr>
        <w:tc>
          <w:tcPr/>
          <w:p>
            <w:pPr>
              <w:pStyle w:val="Compact"/>
            </w:pPr>
            <w:r>
              <w:t xml:space="preserve">Revenue</w:t>
            </w:r>
          </w:p>
        </w:tc>
        <w:tc>
          <w:tcPr/>
          <w:p>
            <w:pPr>
              <w:pStyle w:val="Compact"/>
            </w:pPr>
            <w:r>
              <w:t xml:space="preserve">~$2.05–2.09B</w:t>
            </w:r>
          </w:p>
        </w:tc>
        <w:tc>
          <w:tcPr/>
          <w:p>
            <w:pPr>
              <w:pStyle w:val="Compact"/>
            </w:pPr>
            <w:r>
              <w:t xml:space="preserve">—</w:t>
            </w:r>
          </w:p>
        </w:tc>
        <w:tc>
          <w:tcPr/>
          <w:p>
            <w:pPr>
              <w:pStyle w:val="Compact"/>
            </w:pPr>
            <w:r>
              <w:t xml:space="preserve">~flat-to-up</w:t>
            </w:r>
          </w:p>
        </w:tc>
      </w:tr>
      <w:tr>
        <w:tc>
          <w:tcPr/>
          <w:p>
            <w:pPr>
              <w:pStyle w:val="Compact"/>
            </w:pPr>
            <w:r>
              <w:t xml:space="preserve">Gas throughput</w:t>
            </w:r>
          </w:p>
        </w:tc>
        <w:tc>
          <w:tcPr/>
          <w:p>
            <w:pPr>
              <w:pStyle w:val="Compact"/>
            </w:pPr>
            <w:r>
              <w:t xml:space="preserve">~112.7 Bcf</w:t>
            </w:r>
          </w:p>
        </w:tc>
        <w:tc>
          <w:tcPr/>
          <w:p>
            <w:pPr>
              <w:pStyle w:val="Compact"/>
            </w:pPr>
            <w:r>
              <w:t xml:space="preserve">—</w:t>
            </w:r>
          </w:p>
        </w:tc>
        <w:tc>
          <w:tcPr/>
          <w:p>
            <w:pPr>
              <w:pStyle w:val="Compact"/>
            </w:pPr>
            <w:r>
              <w:t xml:space="preserve">+~1.5%</w:t>
            </w:r>
          </w:p>
        </w:tc>
      </w:tr>
    </w:tbl>
    <w:p>
      <w:pPr>
        <w:pStyle w:val="Compact"/>
        <w:numPr>
          <w:ilvl w:val="0"/>
          <w:numId w:val="1001"/>
        </w:numPr>
      </w:pPr>
      <w:r>
        <w:t xml:space="preserve">Analysts peg Q2 non-GAAP EPS around</w:t>
      </w:r>
      <w:r>
        <w:t xml:space="preserve"> </w:t>
      </w:r>
      <w:r>
        <w:rPr>
          <w:b/>
          <w:bCs/>
        </w:rPr>
        <w:t xml:space="preserve">$0.36–0.38</w:t>
      </w:r>
      <w:r>
        <w:t xml:space="preserve">, implying roughly</w:t>
      </w:r>
      <w:r>
        <w:t xml:space="preserve"> </w:t>
      </w:r>
      <w:r>
        <w:rPr>
          <w:b/>
          <w:bCs/>
        </w:rPr>
        <w:t xml:space="preserve">~30% YoY growth</w:t>
      </w:r>
      <w:r>
        <w:t xml:space="preserve"> </w:t>
      </w:r>
      <w:r>
        <w:t xml:space="preserve">off the weak $0.29 base last year — a comp that flatters optically because Q2 2025 was depressed by rate-case timing gaps, higher financing costs, and O&amp;M.</w:t>
      </w:r>
    </w:p>
    <w:p>
      <w:pPr>
        <w:pStyle w:val="Compact"/>
        <w:numPr>
          <w:ilvl w:val="0"/>
          <w:numId w:val="1001"/>
        </w:numPr>
      </w:pPr>
      <w:r>
        <w:t xml:space="preserve">KeyCorp nudged its Q2 estimate up to $0.36 in the days ahead of the print, and forecasters generally see an earnings beat as the base case. Watch for the</w:t>
      </w:r>
      <w:r>
        <w:t xml:space="preserve"> </w:t>
      </w:r>
      <w:r>
        <w:rPr>
          <w:b/>
          <w:bCs/>
        </w:rPr>
        <w:t xml:space="preserve">quality</w:t>
      </w:r>
      <w:r>
        <w:t xml:space="preserve"> </w:t>
      </w:r>
      <w:r>
        <w:t xml:space="preserve">of the beat: weather-driven vs. structural rate/growth drivers.</w:t>
      </w:r>
    </w:p>
    <w:p>
      <w:r>
        <w:pict>
          <v:rect style="width:0;height:1.5pt" o:hralign="center" o:hrstd="t" o:hr="t"/>
        </w:pict>
      </w:r>
    </w:p>
    <w:bookmarkEnd w:id="11"/>
    <w:bookmarkStart w:id="12" w:name="the-setup-guidance-and-framing"/>
    <w:p>
      <w:pPr>
        <w:pStyle w:val="Heading2"/>
      </w:pPr>
      <w:r>
        <w:t xml:space="preserve">The setup: guidance and framing</w:t>
      </w:r>
    </w:p>
    <w:p>
      <w:pPr>
        <w:pStyle w:val="Compact"/>
        <w:numPr>
          <w:ilvl w:val="0"/>
          <w:numId w:val="1002"/>
        </w:numPr>
      </w:pPr>
      <w:r>
        <w:t xml:space="preserve">Full-year 2026 non-GAAP EPS guidance is</w:t>
      </w:r>
      <w:r>
        <w:t xml:space="preserve"> </w:t>
      </w:r>
      <m:oMath>
        <m:r>
          <m:t>1.89</m:t>
        </m:r>
        <m:r>
          <m:rPr>
            <m:sty m:val="p"/>
          </m:rPr>
          <m:t>–</m:t>
        </m:r>
      </m:oMath>
      <w:r>
        <w:rPr>
          <w:b/>
          <w:bCs/>
        </w:rPr>
        <w:t xml:space="preserve">1.91</w:t>
      </w:r>
      <w:r>
        <w:t xml:space="preserve">, and management has repeatedly said it is targeting</w:t>
      </w:r>
      <w:r>
        <w:t xml:space="preserve"> </w:t>
      </w:r>
      <w:r>
        <w:rPr>
          <w:b/>
          <w:bCs/>
        </w:rPr>
        <w:t xml:space="preserve">"at least the midpoint,"</w:t>
      </w:r>
      <w:r>
        <w:t xml:space="preserve"> </w:t>
      </w:r>
      <w:r>
        <w:t xml:space="preserve">which at the midpoint is</w:t>
      </w:r>
      <w:r>
        <w:t xml:space="preserve"> </w:t>
      </w:r>
      <w:r>
        <w:rPr>
          <w:b/>
          <w:bCs/>
        </w:rPr>
        <w:t xml:space="preserve">~8% growth over 2025</w:t>
      </w:r>
      <w:r>
        <w:t xml:space="preserve"> </w:t>
      </w:r>
      <w:r>
        <w:t xml:space="preserve">delivered results.</w:t>
      </w:r>
    </w:p>
    <w:p>
      <w:pPr>
        <w:pStyle w:val="Compact"/>
        <w:numPr>
          <w:ilvl w:val="0"/>
          <w:numId w:val="1002"/>
        </w:numPr>
      </w:pPr>
      <w:r>
        <w:t xml:space="preserve">Long-term algorithm:</w:t>
      </w:r>
      <w:r>
        <w:t xml:space="preserve"> </w:t>
      </w:r>
      <w:r>
        <w:rPr>
          <w:b/>
          <w:bCs/>
        </w:rPr>
        <w:t xml:space="preserve">mid-to-high end of 7–9% through 2028, and 7–9% annually thereafter through 2035</w:t>
      </w:r>
      <w:r>
        <w:t xml:space="preserve"> </w:t>
      </w:r>
      <w:r>
        <w:t xml:space="preserve">— one of the more durable, mechanically-recovered growth profiles in the group (~85% of investment recovered via capital trackers).</w:t>
      </w:r>
    </w:p>
    <w:p>
      <w:pPr>
        <w:pStyle w:val="Compact"/>
        <w:numPr>
          <w:ilvl w:val="0"/>
          <w:numId w:val="1002"/>
        </w:numPr>
      </w:pPr>
      <w:r>
        <w:t xml:space="preserve">Q1 2026 was a clean beat/reiterate ($0.56 non-GAAP), so the Q2 bar is simply to keep the year on track without walking back any of the growth narrative.</w:t>
      </w:r>
    </w:p>
    <w:p>
      <w:pPr>
        <w:pStyle w:val="FirstParagraph"/>
      </w:pPr>
      <w:r>
        <w:rPr>
          <w:b/>
          <w:bCs/>
        </w:rPr>
        <w:t xml:space="preserve">What I'd watch:</w:t>
      </w:r>
      <w:r>
        <w:t xml:space="preserve"> </w:t>
      </w:r>
      <w:r>
        <w:t xml:space="preserve">any language shift from "at least the midpoint" toward a raise or a tightening to the upper half. With ~70% of 2026 financing already done as of Q1 and a corporate AMT cash-tax tailwind, the ingredients for an eventual guide-up exist — but management historically prefers to fold upside into the fall 10-year-plan refresh rather than mid-year.</w:t>
      </w:r>
    </w:p>
    <w:p>
      <w:r>
        <w:pict>
          <v:rect style="width:0;height:1.5pt" o:hralign="center" o:hrstd="t" o:hr="t"/>
        </w:pict>
      </w:r>
    </w:p>
    <w:bookmarkEnd w:id="12"/>
    <w:bookmarkStart w:id="13" w:name="the-real-story-houston-load-growth"/>
    <w:p>
      <w:pPr>
        <w:pStyle w:val="Heading2"/>
      </w:pPr>
      <w:r>
        <w:t xml:space="preserve">The real story: Houston load growth</w:t>
      </w:r>
    </w:p>
    <w:p>
      <w:pPr>
        <w:pStyle w:val="FirstParagraph"/>
      </w:pPr>
      <w:r>
        <w:t xml:space="preserve">This is the center of gravity for the stock. The progression over the last few quarters has been striking:</w:t>
      </w:r>
    </w:p>
    <w:p>
      <w:pPr>
        <w:pStyle w:val="Compact"/>
        <w:numPr>
          <w:ilvl w:val="0"/>
          <w:numId w:val="1003"/>
        </w:numPr>
      </w:pPr>
      <w:r>
        <w:rPr>
          <w:b/>
          <w:bCs/>
        </w:rPr>
        <w:t xml:space="preserve">Firmly committed load</w:t>
      </w:r>
      <w:r>
        <w:t xml:space="preserve"> </w:t>
      </w:r>
      <w:r>
        <w:t xml:space="preserve">ramped from 7.5 GW →</w:t>
      </w:r>
      <w:r>
        <w:t xml:space="preserve"> </w:t>
      </w:r>
      <w:r>
        <w:rPr>
          <w:b/>
          <w:bCs/>
        </w:rPr>
        <w:t xml:space="preserve">12.2 GW</w:t>
      </w:r>
      <w:r>
        <w:t xml:space="preserve"> </w:t>
      </w:r>
      <w:r>
        <w:t xml:space="preserve">as of Q1 2026, spanning</w:t>
      </w:r>
      <w:r>
        <w:t xml:space="preserve"> </w:t>
      </w:r>
      <w:r>
        <w:rPr>
          <w:b/>
          <w:bCs/>
        </w:rPr>
        <w:t xml:space="preserve">&gt;12 customers across ~20 projects</w:t>
      </w:r>
      <w:r>
        <w:t xml:space="preserve"> </w:t>
      </w:r>
      <w:r>
        <w:t xml:space="preserve">(90% ≤0.5 GW each — i.e., diversified and manageable, not one whale).</w:t>
      </w:r>
    </w:p>
    <w:p>
      <w:pPr>
        <w:pStyle w:val="Compact"/>
        <w:numPr>
          <w:ilvl w:val="0"/>
          <w:numId w:val="1003"/>
        </w:numPr>
      </w:pPr>
      <w:r>
        <w:rPr>
          <w:b/>
          <w:bCs/>
        </w:rPr>
        <w:t xml:space="preserve">~8 GW expected energized by 2028/2029</w:t>
      </w:r>
      <w:r>
        <w:t xml:space="preserve">; ERCOT had already approved 3.2 GW, with ~9 GW more to be filed (likely qualifying as "Batch 0").</w:t>
      </w:r>
    </w:p>
    <w:p>
      <w:pPr>
        <w:pStyle w:val="Compact"/>
        <w:numPr>
          <w:ilvl w:val="0"/>
          <w:numId w:val="1003"/>
        </w:numPr>
      </w:pPr>
      <w:r>
        <w:t xml:space="preserve">Management's key nuance: in ERCOT,</w:t>
      </w:r>
      <w:r>
        <w:t xml:space="preserve"> </w:t>
      </w:r>
      <w:r>
        <w:rPr>
          <w:b/>
          <w:bCs/>
        </w:rPr>
        <w:t xml:space="preserve">the large-load customer pays for the interconnection capex</w:t>
      </w:r>
      <w:r>
        <w:t xml:space="preserve">, so this load is</w:t>
      </w:r>
      <w:r>
        <w:t xml:space="preserve"> </w:t>
      </w:r>
      <w:r>
        <w:rPr>
          <w:i/>
          <w:iCs/>
        </w:rPr>
        <w:t xml:space="preserve">not</w:t>
      </w:r>
      <w:r>
        <w:t xml:space="preserve"> </w:t>
      </w:r>
      <w:r>
        <w:t xml:space="preserve">a direct capex driver. Instead it shows up as **incremental demand charges (~</w:t>
      </w:r>
      <m:oMath>
        <m:r>
          <m:t>6</m:t>
        </m:r>
        <m:r>
          <m:t>M</m:t>
        </m:r>
        <m:r>
          <m:rPr>
            <m:sty m:val="p"/>
          </m:rPr>
          <m:t>/</m:t>
        </m:r>
        <m:r>
          <m:t>m</m:t>
        </m:r>
        <m:r>
          <m:t>o</m:t>
        </m:r>
        <m:r>
          <m:t>n</m:t>
        </m:r>
        <m:r>
          <m:t>t</m:t>
        </m:r>
        <m:r>
          <m:t>h</m:t>
        </m:r>
        <m:r>
          <m:t>p</m:t>
        </m:r>
        <m:r>
          <m:t>e</m:t>
        </m:r>
        <m:r>
          <m:t>r</m:t>
        </m:r>
        <m:r>
          <m:t>1</m:t>
        </m:r>
        <m:r>
          <m:t>G</m:t>
        </m:r>
        <m:r>
          <m:t>W</m:t>
        </m:r>
        <m:r>
          <m:t>o</m:t>
        </m:r>
        <m:r>
          <m:t>f</m:t>
        </m:r>
        <m:r>
          <m:t>i</m:t>
        </m:r>
        <m:r>
          <m:t>n</m:t>
        </m:r>
        <m:r>
          <m:t>d</m:t>
        </m:r>
        <m:r>
          <m:t>u</m:t>
        </m:r>
        <m:r>
          <m:t>s</m:t>
        </m:r>
        <m:r>
          <m:t>t</m:t>
        </m:r>
        <m:r>
          <m:t>r</m:t>
        </m:r>
        <m:r>
          <m:t>i</m:t>
        </m:r>
        <m:r>
          <m:t>a</m:t>
        </m:r>
        <m:r>
          <m:t>l</m:t>
        </m:r>
        <m:r>
          <m:t>l</m:t>
        </m:r>
        <m:r>
          <m:t>o</m:t>
        </m:r>
        <m:r>
          <m:t>a</m:t>
        </m:r>
        <m:r>
          <m:t>d</m:t>
        </m:r>
        <m:r>
          <m:rPr>
            <m:sty m:val="p"/>
          </m:rPr>
          <m:t>)</m:t>
        </m:r>
        <m:r>
          <m:rPr>
            <m:sty m:val="p"/>
          </m:rPr>
          <m:t>*</m:t>
        </m:r>
        <m:r>
          <m:rPr>
            <m:sty m:val="p"/>
          </m:rPr>
          <m:t>*</m:t>
        </m:r>
        <m:r>
          <m:rPr>
            <m:sty m:val="p"/>
          </m:rPr>
          <m:t>—</m:t>
        </m:r>
        <m:r>
          <m:t>a</m:t>
        </m:r>
        <m:r>
          <m:t>n</m:t>
        </m:r>
        <m:r>
          <m:t>e</m:t>
        </m:r>
        <m:r>
          <m:t>a</m:t>
        </m:r>
        <m:r>
          <m:t>r</m:t>
        </m:r>
        <m:r>
          <m:t>n</m:t>
        </m:r>
        <m:r>
          <m:t>i</m:t>
        </m:r>
        <m:r>
          <m:t>n</m:t>
        </m:r>
        <m:r>
          <m:t>g</m:t>
        </m:r>
        <m:r>
          <m:t>s</m:t>
        </m:r>
        <m:r>
          <m:t>t</m:t>
        </m:r>
        <m:r>
          <m:t>a</m:t>
        </m:r>
        <m:r>
          <m:t>i</m:t>
        </m:r>
        <m:r>
          <m:t>l</m:t>
        </m:r>
        <m:r>
          <m:t>w</m:t>
        </m:r>
        <m:r>
          <m:t>i</m:t>
        </m:r>
        <m:r>
          <m:t>n</m:t>
        </m:r>
        <m:r>
          <m:t>d</m:t>
        </m:r>
        <m:r>
          <m:rPr>
            <m:sty m:val="p"/>
          </m:rPr>
          <m:t>—</m:t>
        </m:r>
        <m:r>
          <m:t>p</m:t>
        </m:r>
        <m:r>
          <m:t>l</m:t>
        </m:r>
        <m:r>
          <m:t>u</m:t>
        </m:r>
        <m:r>
          <m:t>s</m:t>
        </m:r>
        <m:r>
          <m:t>a</m:t>
        </m:r>
        <m:r>
          <m:rPr>
            <m:sty m:val="p"/>
          </m:rPr>
          <m:t>*</m:t>
        </m:r>
        <m:r>
          <m:rPr>
            <m:sty m:val="p"/>
          </m:rPr>
          <m:t>*</m:t>
        </m:r>
        <m:r>
          <m:t>c</m:t>
        </m:r>
        <m:r>
          <m:t>u</m:t>
        </m:r>
        <m:r>
          <m:t>s</m:t>
        </m:r>
        <m:r>
          <m:t>t</m:t>
        </m:r>
        <m:r>
          <m:t>o</m:t>
        </m:r>
        <m:r>
          <m:t>m</m:t>
        </m:r>
        <m:r>
          <m:t>e</m:t>
        </m:r>
        <m:r>
          <m:t>r</m:t>
        </m:r>
        <m:r>
          <m:rPr>
            <m:sty m:val="p"/>
          </m:rPr>
          <m:t>−</m:t>
        </m:r>
        <m:r>
          <m:t>a</m:t>
        </m:r>
        <m:r>
          <m:t>f</m:t>
        </m:r>
        <m:r>
          <m:t>f</m:t>
        </m:r>
        <m:r>
          <m:t>o</m:t>
        </m:r>
        <m:r>
          <m:t>r</m:t>
        </m:r>
        <m:r>
          <m:t>d</m:t>
        </m:r>
        <m:r>
          <m:t>a</m:t>
        </m:r>
        <m:r>
          <m:t>b</m:t>
        </m:r>
        <m:r>
          <m:t>i</m:t>
        </m:r>
        <m:r>
          <m:t>l</m:t>
        </m:r>
        <m:r>
          <m:t>i</m:t>
        </m:r>
        <m:r>
          <m:t>t</m:t>
        </m:r>
        <m:r>
          <m:t>y</m:t>
        </m:r>
        <m:r>
          <m:t>b</m:t>
        </m:r>
        <m:r>
          <m:t>e</m:t>
        </m:r>
        <m:r>
          <m:t>n</m:t>
        </m:r>
        <m:r>
          <m:t>e</m:t>
        </m:r>
        <m:r>
          <m:t>f</m:t>
        </m:r>
        <m:r>
          <m:t>i</m:t>
        </m:r>
        <m:r>
          <m:t>t</m:t>
        </m:r>
        <m:r>
          <m:rPr>
            <m:sty m:val="p"/>
          </m:rPr>
          <m:t>*</m:t>
        </m:r>
        <m:r>
          <m:rPr>
            <m:sty m:val="p"/>
          </m:rPr>
          <m:t>*</m:t>
        </m:r>
        <m:r>
          <m:rPr>
            <m:sty m:val="p"/>
          </m:rPr>
          <m:t>(</m:t>
        </m:r>
        <m:r>
          <m:t>s</m:t>
        </m:r>
        <m:r>
          <m:t>p</m:t>
        </m:r>
        <m:r>
          <m:t>r</m:t>
        </m:r>
        <m:r>
          <m:t>e</m:t>
        </m:r>
        <m:r>
          <m:t>a</m:t>
        </m:r>
        <m:r>
          <m:t>d</m:t>
        </m:r>
        <m:r>
          <m:t>i</m:t>
        </m:r>
        <m:r>
          <m:t>n</m:t>
        </m:r>
        <m:r>
          <m:t>g</m:t>
        </m:r>
        <m:r>
          <m:t>f</m:t>
        </m:r>
        <m:r>
          <m:t>i</m:t>
        </m:r>
        <m:r>
          <m:t>x</m:t>
        </m:r>
        <m:r>
          <m:t>e</m:t>
        </m:r>
        <m:r>
          <m:t>d</m:t>
        </m:r>
        <m:r>
          <m:t>c</m:t>
        </m:r>
        <m:r>
          <m:t>o</m:t>
        </m:r>
        <m:r>
          <m:t>s</m:t>
        </m:r>
        <m:r>
          <m:t>t</m:t>
        </m:r>
        <m:r>
          <m:t>s</m:t>
        </m:r>
        <m:r>
          <m:rPr>
            <m:sty m:val="p"/>
          </m:rPr>
          <m:t>;</m:t>
        </m:r>
        <m:r>
          <m:t> </m:t>
        </m:r>
      </m:oMath>
      <w:r>
        <w:t xml:space="preserve">4B of projected savings for TX residential/commercial customers over 10 years from utilizing existing capacity).</w:t>
      </w:r>
    </w:p>
    <w:p>
      <w:pPr>
        <w:pStyle w:val="FirstParagraph"/>
      </w:pPr>
      <w:r>
        <w:rPr>
          <w:b/>
          <w:bCs/>
        </w:rPr>
        <w:t xml:space="preserve">What to listen for on the call:</w:t>
      </w:r>
    </w:p>
    <w:p>
      <w:pPr>
        <w:pStyle w:val="Compact"/>
        <w:numPr>
          <w:ilvl w:val="0"/>
          <w:numId w:val="1004"/>
        </w:numPr>
      </w:pPr>
      <w:r>
        <w:rPr>
          <w:b/>
          <w:bCs/>
        </w:rPr>
        <w:t xml:space="preserve">Another step-up in the firmly-committed load number</w:t>
      </w:r>
      <w:r>
        <w:t xml:space="preserve"> </w:t>
      </w:r>
      <w:r>
        <w:t xml:space="preserve">(12.2 GW → ?). The trend has been higher every quarter.</w:t>
      </w:r>
    </w:p>
    <w:p>
      <w:pPr>
        <w:pStyle w:val="Compact"/>
        <w:numPr>
          <w:ilvl w:val="0"/>
          <w:numId w:val="1004"/>
        </w:numPr>
      </w:pPr>
      <w:r>
        <w:rPr>
          <w:b/>
          <w:bCs/>
        </w:rPr>
        <w:t xml:space="preserve">The transmission study</w:t>
      </w:r>
      <w:r>
        <w:t xml:space="preserve"> </w:t>
      </w:r>
      <w:r>
        <w:t xml:space="preserve">— management guided to completing it in 2H 2026 and quantifying a "fairly significant set of new transmission projects" to bridge the 2029–2031 capacity gap before the 765 kV lines arrive in 2031–2032. Any early sizing here is the most important incremental catalyst; this is where the "over $10B of incremental capex" beyond the $65.5B base plan gets converted into plan.</w:t>
      </w:r>
    </w:p>
    <w:p>
      <w:pPr>
        <w:pStyle w:val="Compact"/>
        <w:numPr>
          <w:ilvl w:val="0"/>
          <w:numId w:val="1004"/>
        </w:numPr>
      </w:pPr>
      <w:r>
        <w:rPr>
          <w:b/>
          <w:bCs/>
        </w:rPr>
        <w:t xml:space="preserve">Diversity of drivers</w:t>
      </w:r>
      <w:r>
        <w:t xml:space="preserve"> </w:t>
      </w:r>
      <w:r>
        <w:t xml:space="preserve">— management is at pains to stress it's not just data centers: advanced manufacturing, life sciences, energy/LNG export. A recession-resistant framing matters given macro noise.</w:t>
      </w:r>
    </w:p>
    <w:p>
      <w:r>
        <w:pict>
          <v:rect style="width:0;height:1.5pt" o:hralign="center" o:hrstd="t" o:hr="t"/>
        </w:pict>
      </w:r>
    </w:p>
    <w:bookmarkEnd w:id="13"/>
    <w:bookmarkStart w:id="14" w:name="indiana--the-emerging-optionality"/>
    <w:p>
      <w:pPr>
        <w:pStyle w:val="Heading2"/>
      </w:pPr>
      <w:r>
        <w:t xml:space="preserve">Indiana — the emerging optionality</w:t>
      </w:r>
    </w:p>
    <w:p>
      <w:pPr>
        <w:pStyle w:val="Compact"/>
        <w:numPr>
          <w:ilvl w:val="0"/>
          <w:numId w:val="1005"/>
        </w:numPr>
      </w:pPr>
      <w:r>
        <w:t xml:space="preserve">CenterPoint is in advanced talks on what would be its</w:t>
      </w:r>
      <w:r>
        <w:t xml:space="preserve"> </w:t>
      </w:r>
      <w:r>
        <w:rPr>
          <w:b/>
          <w:bCs/>
        </w:rPr>
        <w:t xml:space="preserve">largest-ever Southern Indiana load customer</w:t>
      </w:r>
      <w:r>
        <w:t xml:space="preserve">, unlocking</w:t>
      </w:r>
      <w:r>
        <w:t xml:space="preserve"> </w:t>
      </w:r>
      <w:r>
        <w:rPr>
          <w:b/>
          <w:bCs/>
        </w:rPr>
        <w:t xml:space="preserve">≥1.5 GW</w:t>
      </w:r>
      <w:r>
        <w:t xml:space="preserve"> </w:t>
      </w:r>
      <w:r>
        <w:t xml:space="preserve">via existing capacity, a MISO transmission project, and a</w:t>
      </w:r>
      <w:r>
        <w:t xml:space="preserve"> </w:t>
      </w:r>
      <w:r>
        <w:rPr>
          <w:b/>
          <w:bCs/>
        </w:rPr>
        <w:t xml:space="preserve">simple-cycle → combined-cycle conversion</w:t>
      </w:r>
      <w:r>
        <w:t xml:space="preserve">.</w:t>
      </w:r>
    </w:p>
    <w:p>
      <w:pPr>
        <w:pStyle w:val="Compact"/>
        <w:numPr>
          <w:ilvl w:val="0"/>
          <w:numId w:val="1005"/>
        </w:numPr>
      </w:pPr>
      <w:r>
        <w:t xml:space="preserve">Sized at</w:t>
      </w:r>
      <w:r>
        <w:t xml:space="preserve"> </w:t>
      </w:r>
      <w:r>
        <w:rPr>
          <w:b/>
          <w:bCs/>
        </w:rPr>
        <w:t xml:space="preserve">~</w:t>
      </w:r>
      <m:oMath>
        <m:r>
          <m:t>1</m:t>
        </m:r>
        <m:r>
          <m:t>B</m:t>
        </m:r>
        <m:r>
          <m:t>o</m:t>
        </m:r>
        <m:r>
          <m:t>f</m:t>
        </m:r>
        <m:r>
          <m:t>i</m:t>
        </m:r>
        <m:r>
          <m:t>n</m:t>
        </m:r>
        <m:r>
          <m:t>c</m:t>
        </m:r>
        <m:r>
          <m:t>r</m:t>
        </m:r>
        <m:r>
          <m:t>e</m:t>
        </m:r>
        <m:r>
          <m:t>m</m:t>
        </m:r>
        <m:r>
          <m:t>e</m:t>
        </m:r>
        <m:r>
          <m:t>n</m:t>
        </m:r>
        <m:r>
          <m:t>t</m:t>
        </m:r>
        <m:r>
          <m:t>a</m:t>
        </m:r>
        <m:r>
          <m:t>l</m:t>
        </m:r>
        <m:r>
          <m:t>c</m:t>
        </m:r>
        <m:r>
          <m:t>a</m:t>
        </m:r>
        <m:r>
          <m:t>p</m:t>
        </m:r>
        <m:r>
          <m:t>e</m:t>
        </m:r>
        <m:r>
          <m:t>x</m:t>
        </m:r>
        <m:r>
          <m:rPr>
            <m:sty m:val="p"/>
          </m:rPr>
          <m:t>*</m:t>
        </m:r>
        <m:r>
          <m:rPr>
            <m:sty m:val="p"/>
          </m:rPr>
          <m:t>*</m:t>
        </m:r>
        <m:r>
          <m:rPr>
            <m:sty m:val="p"/>
          </m:rPr>
          <m:t>,</m:t>
        </m:r>
        <m:r>
          <m:t>t</m:t>
        </m:r>
        <m:r>
          <m:t>a</m:t>
        </m:r>
        <m:r>
          <m:t>r</m:t>
        </m:r>
        <m:r>
          <m:t>g</m:t>
        </m:r>
        <m:r>
          <m:t>e</m:t>
        </m:r>
        <m:r>
          <m:t>t</m:t>
        </m:r>
        <m:r>
          <m:t>e</m:t>
        </m:r>
        <m:r>
          <m:t>d</m:t>
        </m:r>
        <m:r>
          <m:t>f</m:t>
        </m:r>
        <m:r>
          <m:t>o</m:t>
        </m:r>
        <m:r>
          <m:t>r</m:t>
        </m:r>
        <m:r>
          <m:rPr>
            <m:sty m:val="p"/>
          </m:rPr>
          <m:t>*</m:t>
        </m:r>
        <m:r>
          <m:rPr>
            <m:sty m:val="p"/>
          </m:rPr>
          <m:t>*</m:t>
        </m:r>
        <m:r>
          <m:t>2027</m:t>
        </m:r>
        <m:r>
          <m:rPr>
            <m:sty m:val="p"/>
          </m:rPr>
          <m:t>–</m:t>
        </m:r>
        <m:r>
          <m:t>2029</m:t>
        </m:r>
        <m:r>
          <m:rPr>
            <m:sty m:val="p"/>
          </m:rPr>
          <m:t>*</m:t>
        </m:r>
        <m:r>
          <m:rPr>
            <m:sty m:val="p"/>
          </m:rPr>
          <m:t>*</m:t>
        </m:r>
        <m:r>
          <m:rPr>
            <m:sty m:val="p"/>
          </m:rPr>
          <m:t>,</m:t>
        </m:r>
        <m:r>
          <m:t>w</m:t>
        </m:r>
        <m:r>
          <m:t>i</m:t>
        </m:r>
        <m:r>
          <m:t>t</m:t>
        </m:r>
        <m:r>
          <m:t>h</m:t>
        </m:r>
        <m:r>
          <m:rPr>
            <m:sty m:val="p"/>
          </m:rPr>
          <m:t>*</m:t>
        </m:r>
        <m:r>
          <m:rPr>
            <m:sty m:val="p"/>
          </m:rPr>
          <m:t>*</m:t>
        </m:r>
        <m:r>
          <m:t> </m:t>
        </m:r>
      </m:oMath>
      <w:r>
        <w:rPr>
          <w:b/>
          <w:bCs/>
        </w:rPr>
        <w:t xml:space="preserve">250M of residential customer savings over 15 years</w:t>
      </w:r>
      <w:r>
        <w:t xml:space="preserve">. An announcement/contract signing would be a clean positive surprise.</w:t>
      </w:r>
    </w:p>
    <w:p>
      <w:r>
        <w:pict>
          <v:rect style="width:0;height:1.5pt" o:hralign="center" o:hrstd="t" o:hr="t"/>
        </w:pict>
      </w:r>
    </w:p>
    <w:bookmarkEnd w:id="14"/>
    <w:bookmarkStart w:id="15" w:name="balance-sheet-financing--catalysts"/>
    <w:p>
      <w:pPr>
        <w:pStyle w:val="Heading2"/>
      </w:pPr>
      <w:r>
        <w:t xml:space="preserve">Balance sheet, financing &amp; catalysts</w:t>
      </w:r>
    </w:p>
    <w:p>
      <w:pPr>
        <w:pStyle w:val="Compact"/>
        <w:numPr>
          <w:ilvl w:val="0"/>
          <w:numId w:val="1006"/>
        </w:numPr>
      </w:pPr>
      <w:r>
        <w:rPr>
          <w:b/>
          <w:bCs/>
        </w:rPr>
        <w:t xml:space="preserve">FFO/debt was 12.5%</w:t>
      </w:r>
      <w:r>
        <w:t xml:space="preserve"> </w:t>
      </w:r>
      <w:r>
        <w:t xml:space="preserve">at Q1 (Moody's methodology), pressured by opportunistically pre-funding debt; management expects it to normalize and to</w:t>
      </w:r>
      <w:r>
        <w:t xml:space="preserve"> </w:t>
      </w:r>
      <w:r>
        <w:rPr>
          <w:b/>
          <w:bCs/>
        </w:rPr>
        <w:t xml:space="preserve">exit 2026 at the high end of its ~150 bps cushion.</w:t>
      </w:r>
    </w:p>
    <w:p>
      <w:pPr>
        <w:pStyle w:val="Compact"/>
        <w:numPr>
          <w:ilvl w:val="0"/>
          <w:numId w:val="1006"/>
        </w:numPr>
      </w:pPr>
      <w:r>
        <w:rPr>
          <w:b/>
          <w:bCs/>
        </w:rPr>
        <w:t xml:space="preserve">CAMT/AMT tailwind:</w:t>
      </w:r>
      <w:r>
        <w:t xml:space="preserve"> </w:t>
      </w:r>
      <w:r>
        <w:t xml:space="preserve">eliminating ~</w:t>
      </w:r>
      <m:oMath>
        <m:r>
          <m:t>150</m:t>
        </m:r>
        <m:r>
          <m:t>M</m:t>
        </m:r>
        <m:r>
          <m:rPr>
            <m:sty m:val="p"/>
          </m:rPr>
          <m:t>/</m:t>
        </m:r>
        <m:r>
          <m:t>y</m:t>
        </m:r>
        <m:r>
          <m:t>r</m:t>
        </m:r>
        <m:r>
          <m:t>o</m:t>
        </m:r>
        <m:r>
          <m:t>f</m:t>
        </m:r>
        <m:r>
          <m:t>c</m:t>
        </m:r>
        <m:r>
          <m:t>a</m:t>
        </m:r>
        <m:r>
          <m:t>s</m:t>
        </m:r>
        <m:r>
          <m:t>h</m:t>
        </m:r>
        <m:r>
          <m:t>t</m:t>
        </m:r>
        <m:r>
          <m:t>a</m:t>
        </m:r>
        <m:r>
          <m:t>x</m:t>
        </m:r>
        <m:r>
          <m:t>e</m:t>
        </m:r>
        <m:r>
          <m:t>s</m:t>
        </m:r>
        <m:r>
          <m:t>p</m:t>
        </m:r>
        <m:r>
          <m:t>l</m:t>
        </m:r>
        <m:r>
          <m:t>u</m:t>
        </m:r>
        <m:r>
          <m:t>s</m:t>
        </m:r>
        <m:r>
          <m:t>a</m:t>
        </m:r>
        <m:r>
          <m:t>r</m:t>
        </m:r>
        <m:r>
          <m:t>e</m:t>
        </m:r>
        <m:r>
          <m:t>f</m:t>
        </m:r>
        <m:r>
          <m:t>u</m:t>
        </m:r>
        <m:r>
          <m:t>n</m:t>
        </m:r>
        <m:r>
          <m:t>d</m:t>
        </m:r>
        <m:r>
          <m:rPr>
            <m:sty m:val="p"/>
          </m:rPr>
          <m:t>;</m:t>
        </m:r>
        <m:r>
          <m:t>m</m:t>
        </m:r>
        <m:r>
          <m:t>a</m:t>
        </m:r>
        <m:r>
          <m:t>n</m:t>
        </m:r>
        <m:r>
          <m:t>a</m:t>
        </m:r>
        <m:r>
          <m:t>g</m:t>
        </m:r>
        <m:r>
          <m:t>e</m:t>
        </m:r>
        <m:r>
          <m:t>m</m:t>
        </m:r>
        <m:r>
          <m:t>e</m:t>
        </m:r>
        <m:r>
          <m:t>n</m:t>
        </m:r>
        <m:r>
          <m:t>t</m:t>
        </m:r>
        <m:r>
          <m:t>f</m:t>
        </m:r>
        <m:r>
          <m:t>r</m:t>
        </m:r>
        <m:r>
          <m:t>a</m:t>
        </m:r>
        <m:r>
          <m:t>m</m:t>
        </m:r>
        <m:r>
          <m:t>e</m:t>
        </m:r>
        <m:r>
          <m:t>d</m:t>
        </m:r>
        <m:r>
          <m:t>t</m:t>
        </m:r>
        <m:r>
          <m:t>h</m:t>
        </m:r>
        <m:r>
          <m:t>i</m:t>
        </m:r>
        <m:r>
          <m:t>s</m:t>
        </m:r>
        <m:r>
          <m:t>a</m:t>
        </m:r>
        <m:r>
          <m:t>s</m:t>
        </m:r>
        <m:r>
          <m:t>e</m:t>
        </m:r>
        <m:r>
          <m:t>n</m:t>
        </m:r>
        <m:r>
          <m:t>a</m:t>
        </m:r>
        <m:r>
          <m:t>b</m:t>
        </m:r>
        <m:r>
          <m:t>l</m:t>
        </m:r>
        <m:r>
          <m:t>i</m:t>
        </m:r>
        <m:r>
          <m:t>n</m:t>
        </m:r>
        <m:r>
          <m:t>g</m:t>
        </m:r>
        <m:r>
          <m:rPr>
            <m:sty m:val="p"/>
          </m:rPr>
          <m:t>*</m:t>
        </m:r>
        <m:r>
          <m:rPr>
            <m:sty m:val="p"/>
          </m:rPr>
          <m:t>*</m:t>
        </m:r>
        <m:r>
          <m:t> </m:t>
        </m:r>
      </m:oMath>
      <w:r>
        <w:t xml:space="preserve">1B of incremental capex with no incremental equity** — watch for any change to the ~$4B equity plan.</w:t>
      </w:r>
    </w:p>
    <w:p>
      <w:pPr>
        <w:pStyle w:val="Compact"/>
        <w:numPr>
          <w:ilvl w:val="0"/>
          <w:numId w:val="1006"/>
        </w:numPr>
      </w:pPr>
      <w:r>
        <w:rPr>
          <w:b/>
          <w:bCs/>
        </w:rPr>
        <w:t xml:space="preserve">TEEEF ("mobile gen") monetization:</w:t>
      </w:r>
      <w:r>
        <w:t xml:space="preserve"> </w:t>
      </w:r>
      <w:r>
        <w:t xml:space="preserve">smaller units already being marketed at</w:t>
      </w:r>
      <w:r>
        <w:t xml:space="preserve"> </w:t>
      </w:r>
      <w:r>
        <w:rPr>
          <w:b/>
          <w:bCs/>
        </w:rPr>
        <w:t xml:space="preserve">~2x original 2021 lease rates</w:t>
      </w:r>
      <w:r>
        <w:t xml:space="preserve">; larger San Antonio units return no later than ~March 2027. Potential cash upside not fully in the plan.</w:t>
      </w:r>
    </w:p>
    <w:p>
      <w:pPr>
        <w:pStyle w:val="Compact"/>
        <w:numPr>
          <w:ilvl w:val="0"/>
          <w:numId w:val="1006"/>
        </w:numPr>
      </w:pPr>
      <w:r>
        <w:t xml:space="preserve">Housekeeping items:</w:t>
      </w:r>
      <w:r>
        <w:t xml:space="preserve"> </w:t>
      </w:r>
      <w:r>
        <w:rPr>
          <w:b/>
          <w:bCs/>
        </w:rPr>
        <w:t xml:space="preserve">Ohio LDC sale</w:t>
      </w:r>
      <w:r>
        <w:t xml:space="preserve"> </w:t>
      </w:r>
      <w:r>
        <w:t xml:space="preserve">on track to close in Q4 2026;</w:t>
      </w:r>
      <w:r>
        <w:t xml:space="preserve"> </w:t>
      </w:r>
      <w:r>
        <w:rPr>
          <w:b/>
          <w:bCs/>
        </w:rPr>
        <w:t xml:space="preserve">Minnesota and Indiana gas rate cases</w:t>
      </w:r>
      <w:r>
        <w:t xml:space="preserve"> </w:t>
      </w:r>
      <w:r>
        <w:t xml:space="preserve">to be filed in Q4 (together &lt;20% of consolidated earnings power).</w:t>
      </w:r>
    </w:p>
    <w:p>
      <w:r>
        <w:pict>
          <v:rect style="width:0;height:1.5pt" o:hralign="center" o:hrstd="t" o:hr="t"/>
        </w:pict>
      </w:r>
    </w:p>
    <w:bookmarkEnd w:id="15"/>
    <w:bookmarkStart w:id="16" w:name="stock-context--sentiment"/>
    <w:p>
      <w:pPr>
        <w:pStyle w:val="Heading2"/>
      </w:pPr>
      <w:r>
        <w:t xml:space="preserve">Stock context &amp; sentiment</w:t>
      </w:r>
    </w:p>
    <w:p>
      <w:pPr>
        <w:pStyle w:val="Compact"/>
        <w:numPr>
          <w:ilvl w:val="0"/>
          <w:numId w:val="1007"/>
        </w:numPr>
      </w:pPr>
      <w:r>
        <w:t xml:space="preserve">CNP is</w:t>
      </w:r>
      <w:r>
        <w:t xml:space="preserve"> </w:t>
      </w:r>
      <w:r>
        <w:rPr>
          <w:b/>
          <w:bCs/>
        </w:rPr>
        <w:t xml:space="preserve">~+14% YTD</w:t>
      </w:r>
      <w:r>
        <w:t xml:space="preserve">, comfortably ahead of the utility sector (XLU ~+6%), and near 52-week highs (~$44 vs. a January low near $37.75, +~17%). It's been a relative winner as the Texas load-growth thesis compounded.</w:t>
      </w:r>
    </w:p>
    <w:p>
      <w:pPr>
        <w:pStyle w:val="Compact"/>
        <w:numPr>
          <w:ilvl w:val="0"/>
          <w:numId w:val="1007"/>
        </w:numPr>
      </w:pPr>
      <w:r>
        <w:t xml:space="preserve">That outperformance raises the bar: with a market cap ~$29B and shares up sharply, a simple in-line print with a reiterate may be a "sell-the-news" risk. The</w:t>
      </w:r>
      <w:r>
        <w:t xml:space="preserve"> </w:t>
      </w:r>
      <w:r>
        <w:rPr>
          <w:b/>
          <w:bCs/>
        </w:rPr>
        <w:t xml:space="preserve">positive skew requires fresh upside</w:t>
      </w:r>
      <w:r>
        <w:t xml:space="preserve"> </w:t>
      </w:r>
      <w:r>
        <w:t xml:space="preserve">— a higher committed-load figure, early transmission-study sizing, or the Indiana deal.</w:t>
      </w:r>
    </w:p>
    <w:p>
      <w:pPr>
        <w:pStyle w:val="Compact"/>
        <w:numPr>
          <w:ilvl w:val="0"/>
          <w:numId w:val="1007"/>
        </w:numPr>
      </w:pPr>
      <w:r>
        <w:t xml:space="preserve">Sector backdrop is mixed: political scrutiny on</w:t>
      </w:r>
      <w:r>
        <w:t xml:space="preserve"> </w:t>
      </w:r>
      <w:r>
        <w:rPr>
          <w:b/>
          <w:bCs/>
        </w:rPr>
        <w:t xml:space="preserve">data-center-driven electric bill increases</w:t>
      </w:r>
      <w:r>
        <w:t xml:space="preserve"> </w:t>
      </w:r>
      <w:r>
        <w:t xml:space="preserve">(Trump's expanded utility pledge, signed by ~200 entities) and recent</w:t>
      </w:r>
      <w:r>
        <w:t xml:space="preserve"> </w:t>
      </w:r>
      <w:r>
        <w:rPr>
          <w:b/>
          <w:bCs/>
        </w:rPr>
        <w:t xml:space="preserve">PJM grid-instability events tied to large data-center load drops</w:t>
      </w:r>
      <w:r>
        <w:t xml:space="preserve"> </w:t>
      </w:r>
      <w:r>
        <w:t xml:space="preserve">keep large-load reliability/affordability in the headlines — themes on which CNP's "customer affordability" framing is a defensive advantage, but also a regulatory watch-item.</w:t>
      </w:r>
    </w:p>
    <w:p>
      <w:r>
        <w:pict>
          <v:rect style="width:0;height:1.5pt" o:hralign="center" o:hrstd="t" o:hr="t"/>
        </w:pict>
      </w:r>
    </w:p>
    <w:bookmarkEnd w:id="16"/>
    <w:bookmarkStart w:id="17" w:name="bottom-line--what-matters-most-tuesday"/>
    <w:p>
      <w:pPr>
        <w:pStyle w:val="Heading2"/>
      </w:pPr>
      <w:r>
        <w:t xml:space="preserve">Bottom line — what matters most Tuesday</w:t>
      </w:r>
    </w:p>
    <w:p>
      <w:pPr>
        <w:pStyle w:val="Compact"/>
        <w:numPr>
          <w:ilvl w:val="0"/>
          <w:numId w:val="1008"/>
        </w:numPr>
      </w:pPr>
      <w:r>
        <w:rPr>
          <w:b/>
          <w:bCs/>
        </w:rPr>
        <w:t xml:space="preserve">EPS beat quality</w:t>
      </w:r>
      <w:r>
        <w:t xml:space="preserve"> </w:t>
      </w:r>
      <w:r>
        <w:t xml:space="preserve">and whether FY guidance moves from "at least midpoint" toward the upper half.</w:t>
      </w:r>
    </w:p>
    <w:p>
      <w:pPr>
        <w:pStyle w:val="Compact"/>
        <w:numPr>
          <w:ilvl w:val="0"/>
          <w:numId w:val="1008"/>
        </w:numPr>
      </w:pPr>
      <w:r>
        <w:rPr>
          <w:b/>
          <w:bCs/>
        </w:rPr>
        <w:t xml:space="preserve">Committed load</w:t>
      </w:r>
      <w:r>
        <w:t xml:space="preserve"> </w:t>
      </w:r>
      <w:r>
        <w:t xml:space="preserve">— does 12.2 GW step higher again?</w:t>
      </w:r>
    </w:p>
    <w:p>
      <w:pPr>
        <w:pStyle w:val="Compact"/>
        <w:numPr>
          <w:ilvl w:val="0"/>
          <w:numId w:val="1008"/>
        </w:numPr>
      </w:pPr>
      <w:r>
        <w:rPr>
          <w:b/>
          <w:bCs/>
        </w:rPr>
        <w:t xml:space="preserve">Transmission-study sizing</w:t>
      </w:r>
      <w:r>
        <w:t xml:space="preserve"> </w:t>
      </w:r>
      <w:r>
        <w:t xml:space="preserve">— the bridge that converts load into rate-base capex; even a directional number is a catalyst.</w:t>
      </w:r>
    </w:p>
    <w:p>
      <w:pPr>
        <w:pStyle w:val="Compact"/>
        <w:numPr>
          <w:ilvl w:val="0"/>
          <w:numId w:val="1008"/>
        </w:numPr>
      </w:pPr>
      <w:r>
        <w:rPr>
          <w:b/>
          <w:bCs/>
        </w:rPr>
        <w:t xml:space="preserve">Indiana large-load contract</w:t>
      </w:r>
      <w:r>
        <w:t xml:space="preserve"> </w:t>
      </w:r>
      <w:r>
        <w:t xml:space="preserve">— any firm commitment is upside.</w:t>
      </w:r>
    </w:p>
    <w:p>
      <w:pPr>
        <w:pStyle w:val="Compact"/>
        <w:numPr>
          <w:ilvl w:val="0"/>
          <w:numId w:val="1008"/>
        </w:numPr>
      </w:pPr>
      <w:r>
        <w:rPr>
          <w:b/>
          <w:bCs/>
        </w:rPr>
        <w:t xml:space="preserve">Financing/credit</w:t>
      </w:r>
      <w:r>
        <w:t xml:space="preserve"> </w:t>
      </w:r>
      <w:r>
        <w:t xml:space="preserve">— FFO/debt normalization and how the AMT cash-tax windfall is deployed (more capex vs. less equity).</w:t>
      </w:r>
    </w:p>
    <w:p>
      <w:pPr>
        <w:pStyle w:val="FirstParagraph"/>
      </w:pPr>
      <w:r>
        <w:t xml:space="preserve">Given how much good news is embedded in the stock, the risk/reward hinges less on the Q2 EPS number and more on management extending the growth runway. A reiterate-only print risks a muted-to-negative reaction; concrete new capex/load data points are what keep the re-rating intact.</w:t>
      </w:r>
    </w:p>
    <w:p>
      <w:pPr>
        <w:pStyle w:val="BodyText"/>
      </w:pPr>
      <w:r>
        <w:rPr>
          <w:i/>
          <w:iCs/>
        </w:rPr>
        <w:t xml:space="preserve">Note: I was unable to retrieve a pre-release CNP company press item for July 2026 in the news feeds; consensus figures above are drawn from third-party analyst aggregators and should be treated as approximate. Q2 2025 comparables and all management commentary are from CenterPoint's own filings/transcripts.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2026-07-28T01:03:42Z</dcterms:created>
  <dcterms:modified xsi:type="dcterms:W3CDTF">2026-07-28T01:03:42Z</dcterms:modified>
</cp:coreProperties>
</file>

<file path=docProps/custom.xml><?xml version="1.0" encoding="utf-8"?>
<Properties xmlns="http://schemas.openxmlformats.org/officeDocument/2006/custom-properties" xmlns:vt="http://schemas.openxmlformats.org/officeDocument/2006/docPropsVTypes"/>
</file>