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p-earnings-predictions--2026-07-28"/>
    <w:p>
      <w:pPr>
        <w:pStyle w:val="Heading1"/>
      </w:pPr>
      <w:r>
        <w:t xml:space="preserve">CNP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~$0.38 vs. cons $0.37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~$2.10B vs. cons $2.12B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Firmly Committed Industrial/Data-Center Load (GW) disclosed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 GW vs. implied run-rate expectation ~13 GW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1.89</m:t>
              </m:r>
              <m:r>
                <m:rPr>
                  <m:sty m:val="p"/>
                </m:rPr>
                <m:t>−</m:t>
              </m:r>
            </m:oMath>
            <w:r>
              <w:t xml:space="preserve">1.91 (midpoint $1.90) vs. cons $1.91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EPS Growth Rate off 2026 base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~8-9% vs. cons ~8.9%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FFO-to-Debt exit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~13.5-14% exit vs. cons ~13.5% implied high-end-of-150bp cushion (YE2026)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10-Year Capital Plan Size (post transmission study preview)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~$67-68B vs. cons prior $65.5B (2027-2036 plan)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Indiana Large-Load (Southern Indiana ~1.5GW) Signed Agreement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~0 GW signed this quarter vs. cons ~0 GW signed (Q2 2026 update)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plus reaffirmed/high-end FY26 guidance removes downside risk, while incremental disclosures (higher committed GW, likely upsized 10-yr capex plan from the H2 transmission study, and continued avoidance of new equity issuance via ATM) give sell-side analysts fresh reasons to nudge price targets and 2027-28 estimates higher over the following days rather than fade a 'sell-the-news' pop; the main drag limiting a larger follow-through is the stock's already-elevated valuation near 52-week highs, which caps how much further re-rating can occur without a truly transformational catalyst (e.g., signed Indiana large-load deal) materializing in the print itself.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2026-07-28T01:07:50Z</dcterms:created>
  <dcterms:modified xsi:type="dcterms:W3CDTF">2026-07-28T01:07:50Z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