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8946eb71fd4868ddadf2da56009fc452c62b2e3"/>
    <w:p>
      <w:pPr>
        <w:pStyle w:val="Heading1"/>
      </w:pPr>
      <w:r>
        <w:t xml:space="preserve">CenterPoint Energy (NYSE: CNP) — Q2 2026 Earnings Preview</w:t>
      </w:r>
    </w:p>
    <w:p>
      <w:pPr>
        <w:pStyle w:val="BlockText"/>
      </w:pPr>
      <w:r>
        <w:rPr>
          <w:b/>
          <w:bCs/>
        </w:rPr>
        <w:t xml:space="preserve">Timing note:</w:t>
      </w:r>
      <w:r>
        <w:t xml:space="preserve"> </w:t>
      </w:r>
      <w:r>
        <w:t xml:space="preserve">CenterPoint’s investor-relations calendar schedules the Q2 earnings call for</w:t>
      </w:r>
      <w:r>
        <w:t xml:space="preserve"> </w:t>
      </w:r>
      <w:r>
        <w:rPr>
          <w:b/>
          <w:bCs/>
        </w:rPr>
        <w:t xml:space="preserve">today, Tuesday, July 28, 2026, at 8:00 a.m. ET</w:t>
      </w:r>
      <w:r>
        <w:t xml:space="preserve">, rather than tomorrow. (</w:t>
      </w:r>
      <w:hyperlink r:id="rId9">
        <w:r>
          <w:rPr>
            <w:rStyle w:val="Hyperlink"/>
          </w:rPr>
          <w:t xml:space="preserve">centerpointener.gcs-web.com</w:t>
        </w:r>
      </w:hyperlink>
      <w:r>
        <w:t xml:space="preserve">)</w:t>
      </w:r>
    </w:p>
    <w:bookmarkStart w:id="11" w:name="investment-setup"/>
    <w:p>
      <w:pPr>
        <w:pStyle w:val="Heading2"/>
      </w:pPr>
      <w:r>
        <w:t xml:space="preserve">Investment setup</w:t>
      </w:r>
    </w:p>
    <w:p>
      <w:pPr>
        <w:pStyle w:val="FirstParagraph"/>
      </w:pPr>
      <w:r>
        <w:t xml:space="preserve">The reported quarter should be relatively straightforward. Consensus expects</w:t>
      </w:r>
      <w:r>
        <w:t xml:space="preserve"> </w:t>
      </w:r>
      <w:r>
        <w:rPr>
          <w:b/>
          <w:bCs/>
        </w:rPr>
        <w:t xml:space="preserve">adjusted EPS of $0.37</w:t>
      </w:r>
      <w:r>
        <w:t xml:space="preserve">, up roughly 28% from $0.29 a year ago. The more consequential issues will be:</w:t>
      </w:r>
    </w:p>
    <w:p>
      <w:pPr>
        <w:pStyle w:val="Compact"/>
        <w:numPr>
          <w:ilvl w:val="0"/>
          <w:numId w:val="1001"/>
        </w:numPr>
      </w:pPr>
      <w:r>
        <w:t xml:space="preserve">Whether CenterPoint maintains or strengthens its 2026 guidance.</w:t>
      </w:r>
    </w:p>
    <w:p>
      <w:pPr>
        <w:pStyle w:val="Compact"/>
        <w:numPr>
          <w:ilvl w:val="0"/>
          <w:numId w:val="1001"/>
        </w:numPr>
      </w:pPr>
      <w:r>
        <w:t xml:space="preserve">How much of Houston’s announced large-load pipeline has advanced through ERCOT approvals.</w:t>
      </w:r>
    </w:p>
    <w:p>
      <w:pPr>
        <w:pStyle w:val="Compact"/>
        <w:numPr>
          <w:ilvl w:val="0"/>
          <w:numId w:val="1001"/>
        </w:numPr>
      </w:pPr>
      <w:r>
        <w:t xml:space="preserve">What that load growth means for future transmission investment.</w:t>
      </w:r>
    </w:p>
    <w:p>
      <w:pPr>
        <w:pStyle w:val="Compact"/>
        <w:numPr>
          <w:ilvl w:val="0"/>
          <w:numId w:val="1001"/>
        </w:numPr>
      </w:pPr>
      <w:r>
        <w:t xml:space="preserve">Whether the financing plan remains credible without more equity dilution.</w:t>
      </w:r>
    </w:p>
    <w:p>
      <w:pPr>
        <w:pStyle w:val="Compact"/>
        <w:numPr>
          <w:ilvl w:val="0"/>
          <w:numId w:val="1001"/>
        </w:numPr>
      </w:pPr>
      <w:r>
        <w:t xml:space="preserve">Continued regulatory and operational execution in Houston.</w:t>
      </w:r>
    </w:p>
    <w:p>
      <w:pPr>
        <w:pStyle w:val="FirstParagraph"/>
      </w:pPr>
      <w:r>
        <w:t xml:space="preserve">At approximately</w:t>
      </w:r>
      <w:r>
        <w:t xml:space="preserve"> </w:t>
      </w:r>
      <w:r>
        <w:rPr>
          <w:b/>
          <w:bCs/>
        </w:rPr>
        <w:t xml:space="preserve">22.8 times 2026 consensus EPS</w:t>
      </w:r>
      <w:r>
        <w:t xml:space="preserve">, CNP enters the report at a fairly full utility valuation. That means a routine penny beat may not be enough by itself; investors will probably focus more on the durability and financing of the long-term growth plan. FactSet consensus currently stands at $1.91 for 2026 and $2.08 for 2027. (</w:t>
      </w:r>
      <w:hyperlink r:id="rId10">
        <w:r>
          <w:rPr>
            <w:rStyle w:val="Hyperlink"/>
          </w:rPr>
          <w:t xml:space="preserve">boursorama.com</w:t>
        </w:r>
      </w:hyperlink>
      <w:r>
        <w:t xml:space="preserve">)</w:t>
      </w:r>
    </w:p>
    <w:bookmarkEnd w:id="11"/>
    <w:bookmarkStart w:id="13"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Expectation / prior guidance</w:t>
            </w:r>
          </w:p>
        </w:tc>
      </w:tr>
      <w:tr>
        <w:tc>
          <w:tcPr/>
          <w:p>
            <w:pPr>
              <w:pStyle w:val="Compact"/>
            </w:pPr>
            <w:r>
              <w:t xml:space="preserve">Q2 adjusted EPS consensus</w:t>
            </w:r>
          </w:p>
        </w:tc>
        <w:tc>
          <w:tcPr/>
          <w:p>
            <w:pPr>
              <w:pStyle w:val="Compact"/>
              <w:jc w:val="right"/>
            </w:pPr>
            <w:r>
              <w:rPr>
                <w:b/>
                <w:bCs/>
              </w:rPr>
              <w:t xml:space="preserve">$0.37</w:t>
            </w:r>
          </w:p>
        </w:tc>
      </w:tr>
      <w:tr>
        <w:tc>
          <w:tcPr/>
          <w:p>
            <w:pPr>
              <w:pStyle w:val="Compact"/>
            </w:pPr>
            <w:r>
              <w:t xml:space="preserve">Q2 2025 adjusted EPS</w:t>
            </w:r>
          </w:p>
        </w:tc>
        <w:tc>
          <w:tcPr/>
          <w:p>
            <w:pPr>
              <w:pStyle w:val="Compact"/>
              <w:jc w:val="right"/>
            </w:pPr>
            <w:r>
              <w:rPr>
                <w:b/>
                <w:bCs/>
              </w:rPr>
              <w:t xml:space="preserve">$0.29</w:t>
            </w:r>
          </w:p>
        </w:tc>
      </w:tr>
      <w:tr>
        <w:tc>
          <w:tcPr/>
          <w:p>
            <w:pPr>
              <w:pStyle w:val="Compact"/>
            </w:pPr>
            <w:r>
              <w:t xml:space="preserve">Q1 2026 adjusted EPS</w:t>
            </w:r>
          </w:p>
        </w:tc>
        <w:tc>
          <w:tcPr/>
          <w:p>
            <w:pPr>
              <w:pStyle w:val="Compact"/>
              <w:jc w:val="right"/>
            </w:pPr>
            <w:r>
              <w:rPr>
                <w:b/>
                <w:bCs/>
              </w:rPr>
              <w:t xml:space="preserve">$0.56</w:t>
            </w:r>
          </w:p>
        </w:tc>
      </w:tr>
      <w:tr>
        <w:tc>
          <w:tcPr/>
          <w:p>
            <w:pPr>
              <w:pStyle w:val="Compact"/>
            </w:pPr>
            <w:r>
              <w:t xml:space="preserve">FY2026 adjusted EPS guidance</w:t>
            </w:r>
          </w:p>
        </w:tc>
        <w:tc>
          <w:tcPr/>
          <w:p>
            <w:pPr>
              <w:pStyle w:val="Compact"/>
              <w:jc w:val="right"/>
            </w:pPr>
            <m:oMath>
              <m:r>
                <m:t>1.89</m:t>
              </m:r>
              <m:r>
                <m:rPr>
                  <m:sty m:val="p"/>
                </m:rPr>
                <m:t>–</m:t>
              </m:r>
            </m:oMath>
            <w:r>
              <w:rPr>
                <w:b/>
                <w:bCs/>
              </w:rPr>
              <w:t xml:space="preserve">1.91</w:t>
            </w:r>
            <w:r>
              <w:t xml:space="preserve">, targeting at least the midpoint</w:t>
            </w:r>
          </w:p>
        </w:tc>
      </w:tr>
      <w:tr>
        <w:tc>
          <w:tcPr/>
          <w:p>
            <w:pPr>
              <w:pStyle w:val="Compact"/>
            </w:pPr>
            <w:r>
              <w:t xml:space="preserve">FY2026 consensus EPS</w:t>
            </w:r>
          </w:p>
        </w:tc>
        <w:tc>
          <w:tcPr/>
          <w:p>
            <w:pPr>
              <w:pStyle w:val="Compact"/>
              <w:jc w:val="right"/>
            </w:pPr>
            <w:r>
              <w:rPr>
                <w:b/>
                <w:bCs/>
              </w:rPr>
              <w:t xml:space="preserve">$1.91</w:t>
            </w:r>
          </w:p>
        </w:tc>
      </w:tr>
      <w:tr>
        <w:tc>
          <w:tcPr/>
          <w:p>
            <w:pPr>
              <w:pStyle w:val="Compact"/>
            </w:pPr>
            <w:r>
              <w:t xml:space="preserve">Planned 2026 capital investment</w:t>
            </w:r>
          </w:p>
        </w:tc>
        <w:tc>
          <w:tcPr/>
          <w:p>
            <w:pPr>
              <w:pStyle w:val="Compact"/>
              <w:jc w:val="right"/>
            </w:pPr>
            <w:r>
              <w:rPr>
                <w:b/>
                <w:bCs/>
              </w:rPr>
              <w:t xml:space="preserve">$6.8 billion</w:t>
            </w:r>
          </w:p>
        </w:tc>
      </w:tr>
      <w:tr>
        <w:tc>
          <w:tcPr/>
          <w:p>
            <w:pPr>
              <w:pStyle w:val="Compact"/>
            </w:pPr>
            <w:r>
              <w:t xml:space="preserve">10-year capital plan</w:t>
            </w:r>
          </w:p>
        </w:tc>
        <w:tc>
          <w:tcPr/>
          <w:p>
            <w:pPr>
              <w:pStyle w:val="Compact"/>
              <w:jc w:val="right"/>
            </w:pPr>
            <w:r>
              <w:rPr>
                <w:b/>
                <w:bCs/>
              </w:rPr>
              <w:t xml:space="preserve">$65.5 billion through 2035</w:t>
            </w:r>
          </w:p>
        </w:tc>
      </w:tr>
      <w:tr>
        <w:tc>
          <w:tcPr/>
          <w:p>
            <w:pPr>
              <w:pStyle w:val="Compact"/>
            </w:pPr>
            <w:r>
              <w:t xml:space="preserve">Firmly committed Houston industrial load at Q1</w:t>
            </w:r>
          </w:p>
        </w:tc>
        <w:tc>
          <w:tcPr/>
          <w:p>
            <w:pPr>
              <w:pStyle w:val="Compact"/>
              <w:jc w:val="right"/>
            </w:pPr>
            <w:r>
              <w:rPr>
                <w:b/>
                <w:bCs/>
              </w:rPr>
              <w:t xml:space="preserve">12.2 GW</w:t>
            </w:r>
          </w:p>
        </w:tc>
      </w:tr>
      <w:tr>
        <w:tc>
          <w:tcPr/>
          <w:p>
            <w:pPr>
              <w:pStyle w:val="Compact"/>
            </w:pPr>
            <w:r>
              <w:t xml:space="preserve">Houston load already under construction at Q1</w:t>
            </w:r>
          </w:p>
        </w:tc>
        <w:tc>
          <w:tcPr/>
          <w:p>
            <w:pPr>
              <w:pStyle w:val="Compact"/>
              <w:jc w:val="right"/>
            </w:pPr>
            <w:r>
              <w:rPr>
                <w:b/>
                <w:bCs/>
              </w:rPr>
              <w:t xml:space="preserve">3.5 GW</w:t>
            </w:r>
          </w:p>
        </w:tc>
      </w:tr>
    </w:tbl>
    <w:p>
      <w:pPr>
        <w:pStyle w:val="BodyText"/>
      </w:pPr>
      <w:r>
        <w:t xml:space="preserve">The $0.37 quarterly consensus comes from third-party estimates and compares with adjusted EPS of $0.29 in Q2 2025. (</w:t>
      </w:r>
      <w:hyperlink r:id="rId12">
        <w:r>
          <w:rPr>
            <w:rStyle w:val="Hyperlink"/>
          </w:rPr>
          <w:t xml:space="preserve">tipranks.com</w:t>
        </w:r>
      </w:hyperlink>
      <w:r>
        <w:t xml:space="preserve">)</w:t>
      </w:r>
    </w:p>
    <w:p>
      <w:pPr>
        <w:pStyle w:val="BodyText"/>
      </w:pPr>
      <w:r>
        <w:t xml:space="preserve">If CNP reports exactly</w:t>
      </w:r>
      <w:r>
        <w:t xml:space="preserve"> </w:t>
      </w:r>
      <m:oMath>
        <m:r>
          <m:t>0.37</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b</m:t>
        </m:r>
        <m:r>
          <m:t>e</m:t>
        </m:r>
        <m:r>
          <m:t>a</m:t>
        </m:r>
        <m:r>
          <m:t>b</m:t>
        </m:r>
        <m:r>
          <m:t>o</m:t>
        </m:r>
        <m:r>
          <m:t>u</m:t>
        </m:r>
        <m:r>
          <m:t>t</m:t>
        </m:r>
        <m:r>
          <m:rPr>
            <m:sty m:val="p"/>
          </m:rPr>
          <m:t>*</m:t>
        </m:r>
        <m:r>
          <m:rPr>
            <m:sty m:val="p"/>
          </m:rPr>
          <m:t>*</m:t>
        </m:r>
      </m:oMath>
      <w:r>
        <w:t xml:space="preserve">0.93**. It would then need approximately</w:t>
      </w:r>
      <w:r>
        <w:t xml:space="preserve"> </w:t>
      </w:r>
      <w:r>
        <w:rPr>
          <w:b/>
          <w:bCs/>
        </w:rPr>
        <w:t xml:space="preserve">$0.97 in the second half</w:t>
      </w:r>
      <w:r>
        <w:t xml:space="preserve"> </w:t>
      </w:r>
      <w:r>
        <w:t xml:space="preserve">to reach the $1.90 guidance midpoint. That looks manageable given the company’s seasonal earnings pattern, making guidance and the underlying drivers more important than the headline Q2 number.</w:t>
      </w:r>
    </w:p>
    <w:bookmarkEnd w:id="13"/>
    <w:bookmarkStart w:id="22" w:name="what-matters-most"/>
    <w:p>
      <w:pPr>
        <w:pStyle w:val="Heading2"/>
      </w:pPr>
      <w:r>
        <w:t xml:space="preserve">What matters most</w:t>
      </w:r>
    </w:p>
    <w:bookmarkStart w:id="15" w:name="X0623cbd324894df54d2ac637b4d1d2f7c56a228"/>
    <w:p>
      <w:pPr>
        <w:pStyle w:val="Heading3"/>
      </w:pPr>
      <w:r>
        <w:t xml:space="preserve">1. The quality—not just the size—of Houston load growth</w:t>
      </w:r>
    </w:p>
    <w:p>
      <w:pPr>
        <w:pStyle w:val="FirstParagraph"/>
      </w:pPr>
      <w:r>
        <w:t xml:space="preserve">CenterPoint’s key growth narrative is the rapid expansion of electricity demand in Greater Houston. At Q1, management announced:</w:t>
      </w:r>
    </w:p>
    <w:p>
      <w:pPr>
        <w:pStyle w:val="Compact"/>
        <w:numPr>
          <w:ilvl w:val="0"/>
          <w:numId w:val="1002"/>
        </w:numPr>
      </w:pPr>
      <w:r>
        <w:rPr>
          <w:b/>
          <w:bCs/>
        </w:rPr>
        <w:t xml:space="preserve">12.2 GW of firmly committed industrial load</w:t>
      </w:r>
      <w:r>
        <w:t xml:space="preserve"> </w:t>
      </w:r>
      <w:r>
        <w:t xml:space="preserve">across nearly 20 projects and more than a dozen customers.</w:t>
      </w:r>
    </w:p>
    <w:p>
      <w:pPr>
        <w:pStyle w:val="Compact"/>
        <w:numPr>
          <w:ilvl w:val="0"/>
          <w:numId w:val="1002"/>
        </w:numPr>
      </w:pPr>
      <w:r>
        <w:rPr>
          <w:b/>
          <w:bCs/>
        </w:rPr>
        <w:t xml:space="preserve">3.5 GW already under construction.</w:t>
      </w:r>
    </w:p>
    <w:p>
      <w:pPr>
        <w:pStyle w:val="Compact"/>
        <w:numPr>
          <w:ilvl w:val="0"/>
          <w:numId w:val="1002"/>
        </w:numPr>
      </w:pPr>
      <w:r>
        <w:t xml:space="preserve">Approximately</w:t>
      </w:r>
      <w:r>
        <w:t xml:space="preserve"> </w:t>
      </w:r>
      <w:r>
        <w:rPr>
          <w:b/>
          <w:bCs/>
        </w:rPr>
        <w:t xml:space="preserve">8 GW expected to be energized by the end of the decade</w:t>
      </w:r>
      <w:r>
        <w:t xml:space="preserve">, primarily from data centers.</w:t>
      </w:r>
    </w:p>
    <w:p>
      <w:pPr>
        <w:pStyle w:val="Compact"/>
        <w:numPr>
          <w:ilvl w:val="0"/>
          <w:numId w:val="1002"/>
        </w:numPr>
      </w:pPr>
      <w:r>
        <w:rPr>
          <w:b/>
          <w:bCs/>
        </w:rPr>
        <w:t xml:space="preserve">3.2 GW already approved by ERCOT</w:t>
      </w:r>
      <w:r>
        <w:t xml:space="preserve">, with another roughly 9 GW expected to be submitted.</w:t>
      </w:r>
    </w:p>
    <w:p>
      <w:pPr>
        <w:pStyle w:val="FirstParagraph"/>
      </w:pPr>
      <w:r>
        <w:t xml:space="preserve">Management has said that each additional gigawatt of industrial demand can generate approximately</w:t>
      </w:r>
      <w:r>
        <w:t xml:space="preserve"> </w:t>
      </w:r>
      <w:r>
        <w:rPr>
          <w:b/>
          <w:bCs/>
        </w:rPr>
        <w:t xml:space="preserve">$6 million per month in incremental demand charges</w:t>
      </w:r>
      <w:r>
        <w:t xml:space="preserve">. Customers generally fund the immediate interconnection facilities, so the near-term benefit is less about direct interconnection capex and more about demand revenue, system utilization and affordability.</w:t>
      </w:r>
    </w:p>
    <w:p>
      <w:pPr>
        <w:pStyle w:val="BodyText"/>
      </w:pPr>
      <w:r>
        <w:t xml:space="preserve">Investors should listen for:</w:t>
      </w:r>
    </w:p>
    <w:p>
      <w:pPr>
        <w:pStyle w:val="Compact"/>
        <w:numPr>
          <w:ilvl w:val="0"/>
          <w:numId w:val="1003"/>
        </w:numPr>
      </w:pPr>
      <w:r>
        <w:t xml:space="preserve">How much of the remaining 9 GW has obtained ERCOT approval.</w:t>
      </w:r>
    </w:p>
    <w:p>
      <w:pPr>
        <w:pStyle w:val="Compact"/>
        <w:numPr>
          <w:ilvl w:val="0"/>
          <w:numId w:val="1003"/>
        </w:numPr>
      </w:pPr>
      <w:r>
        <w:t xml:space="preserve">Whether customers have made additional deposits or binding financial commitments.</w:t>
      </w:r>
    </w:p>
    <w:p>
      <w:pPr>
        <w:pStyle w:val="Compact"/>
        <w:numPr>
          <w:ilvl w:val="0"/>
          <w:numId w:val="1003"/>
        </w:numPr>
      </w:pPr>
      <w:r>
        <w:t xml:space="preserve">Any changes to energization dates.</w:t>
      </w:r>
    </w:p>
    <w:p>
      <w:pPr>
        <w:pStyle w:val="Compact"/>
        <w:numPr>
          <w:ilvl w:val="0"/>
          <w:numId w:val="1003"/>
        </w:numPr>
      </w:pPr>
      <w:r>
        <w:t xml:space="preserve">Whether any projects have been delayed, resized or dropped.</w:t>
      </w:r>
    </w:p>
    <w:p>
      <w:pPr>
        <w:pStyle w:val="Compact"/>
        <w:numPr>
          <w:ilvl w:val="0"/>
          <w:numId w:val="1003"/>
        </w:numPr>
      </w:pPr>
      <w:r>
        <w:t xml:space="preserve">Updated customer and industry diversification.</w:t>
      </w:r>
    </w:p>
    <w:p>
      <w:pPr>
        <w:pStyle w:val="Compact"/>
        <w:numPr>
          <w:ilvl w:val="0"/>
          <w:numId w:val="1003"/>
        </w:numPr>
      </w:pPr>
      <w:r>
        <w:t xml:space="preserve">Whether the 12.2 GW figure has increased again.</w:t>
      </w:r>
    </w:p>
    <w:p>
      <w:pPr>
        <w:pStyle w:val="FirstParagraph"/>
      </w:pPr>
      <w:r>
        <w:t xml:space="preserve">Management’s Q1 disclosure and guidance established this as the primary long-term equity story. (</w:t>
      </w:r>
      <w:hyperlink r:id="rId14">
        <w:r>
          <w:rPr>
            <w:rStyle w:val="Hyperlink"/>
          </w:rPr>
          <w:t xml:space="preserve">investors.centerpointenergy.com</w:t>
        </w:r>
      </w:hyperlink>
      <w:r>
        <w:t xml:space="preserve">)</w:t>
      </w:r>
    </w:p>
    <w:p>
      <w:pPr>
        <w:pStyle w:val="BodyText"/>
      </w:pPr>
      <w:r>
        <w:rPr>
          <w:b/>
          <w:bCs/>
        </w:rPr>
        <w:t xml:space="preserve">Positive read-through:</w:t>
      </w:r>
      <w:r>
        <w:t xml:space="preserve"> </w:t>
      </w:r>
      <w:r>
        <w:t xml:space="preserve">More approvals, more construction and no slippage in energization.</w:t>
      </w:r>
    </w:p>
    <w:p>
      <w:pPr>
        <w:pStyle w:val="BodyText"/>
      </w:pPr>
      <w:r>
        <w:rPr>
          <w:b/>
          <w:bCs/>
        </w:rPr>
        <w:t xml:space="preserve">Potential warning sign:</w:t>
      </w:r>
      <w:r>
        <w:t xml:space="preserve"> </w:t>
      </w:r>
      <w:r>
        <w:t xml:space="preserve">Management emphasizes the gross pipeline but provides little evidence of project progression or financial commitments.</w:t>
      </w:r>
    </w:p>
    <w:p>
      <w:r>
        <w:pict>
          <v:rect style="width:0;height:1.5pt" o:hralign="center" o:hrstd="t" o:hr="t"/>
        </w:pict>
      </w:r>
    </w:p>
    <w:bookmarkEnd w:id="15"/>
    <w:bookmarkStart w:id="16" w:name="X0f49396e5adbfe24f3dafc0e8df8e7d93574f17"/>
    <w:p>
      <w:pPr>
        <w:pStyle w:val="Heading3"/>
      </w:pPr>
      <w:r>
        <w:t xml:space="preserve">2. The second-half Houston transmission study</w:t>
      </w:r>
    </w:p>
    <w:p>
      <w:pPr>
        <w:pStyle w:val="FirstParagraph"/>
      </w:pPr>
      <w:r>
        <w:t xml:space="preserve">CenterPoint has about 10 GW of existing hosting capacity in Houston. Large-load customers fund much of the infrastructure required for their direct connections, but using that capacity creates a need to replace it through new transmission projects.</w:t>
      </w:r>
    </w:p>
    <w:p>
      <w:pPr>
        <w:pStyle w:val="BodyText"/>
      </w:pPr>
      <w:r>
        <w:t xml:space="preserve">Management previously indicated that a refreshed transmission study would be completed in the second half of 2026. That study is intended to identify projects needed around 2029–2031, before planned 765-kV infrastructure provides additional import capacity.</w:t>
      </w:r>
    </w:p>
    <w:p>
      <w:pPr>
        <w:pStyle w:val="BodyText"/>
      </w:pPr>
      <w:r>
        <w:t xml:space="preserve">This could be the largest source of capital-plan upside beyond the existing</w:t>
      </w:r>
      <w:r>
        <w:t xml:space="preserve"> </w:t>
      </w:r>
      <w:r>
        <w:rPr>
          <w:b/>
          <w:bCs/>
        </w:rPr>
        <w:t xml:space="preserve">$65.5 billion through 2035</w:t>
      </w:r>
      <w:r>
        <w:t xml:space="preserve">.</w:t>
      </w:r>
    </w:p>
    <w:p>
      <w:pPr>
        <w:pStyle w:val="BodyText"/>
      </w:pPr>
      <w:r>
        <w:t xml:space="preserve">The market will want to know:</w:t>
      </w:r>
    </w:p>
    <w:p>
      <w:pPr>
        <w:pStyle w:val="Compact"/>
        <w:numPr>
          <w:ilvl w:val="0"/>
          <w:numId w:val="1004"/>
        </w:numPr>
      </w:pPr>
      <w:r>
        <w:t xml:space="preserve">Is the study still on schedule?</w:t>
      </w:r>
    </w:p>
    <w:p>
      <w:pPr>
        <w:pStyle w:val="Compact"/>
        <w:numPr>
          <w:ilvl w:val="0"/>
          <w:numId w:val="1004"/>
        </w:numPr>
      </w:pPr>
      <w:r>
        <w:t xml:space="preserve">Could preliminary findings be disclosed before year-end?</w:t>
      </w:r>
    </w:p>
    <w:p>
      <w:pPr>
        <w:pStyle w:val="Compact"/>
        <w:numPr>
          <w:ilvl w:val="0"/>
          <w:numId w:val="1004"/>
        </w:numPr>
      </w:pPr>
      <w:r>
        <w:t xml:space="preserve">How much incremental investment might be required?</w:t>
      </w:r>
    </w:p>
    <w:p>
      <w:pPr>
        <w:pStyle w:val="Compact"/>
        <w:numPr>
          <w:ilvl w:val="0"/>
          <w:numId w:val="1004"/>
        </w:numPr>
      </w:pPr>
      <w:r>
        <w:t xml:space="preserve">How much could enter service before 2031?</w:t>
      </w:r>
    </w:p>
    <w:p>
      <w:pPr>
        <w:pStyle w:val="Compact"/>
        <w:numPr>
          <w:ilvl w:val="0"/>
          <w:numId w:val="1004"/>
        </w:numPr>
      </w:pPr>
      <w:r>
        <w:t xml:space="preserve">Will the additions require more common equity?</w:t>
      </w:r>
    </w:p>
    <w:p>
      <w:pPr>
        <w:pStyle w:val="Compact"/>
        <w:numPr>
          <w:ilvl w:val="0"/>
          <w:numId w:val="1004"/>
        </w:numPr>
      </w:pPr>
      <w:r>
        <w:t xml:space="preserve">Can new load keep customer bills affordable despite the additional investment?</w:t>
      </w:r>
    </w:p>
    <w:p>
      <w:pPr>
        <w:pStyle w:val="FirstParagraph"/>
      </w:pPr>
      <w:r>
        <w:t xml:space="preserve">A firm timeline for quantifying this opportunity would likely be more valuable than a modest quarterly earnings beat.</w:t>
      </w:r>
    </w:p>
    <w:p>
      <w:r>
        <w:pict>
          <v:rect style="width:0;height:1.5pt" o:hralign="center" o:hrstd="t" o:hr="t"/>
        </w:pict>
      </w:r>
    </w:p>
    <w:bookmarkEnd w:id="16"/>
    <w:bookmarkStart w:id="18" w:name="X1910d41cfccb9389e439054216af70f8c12fbf9"/>
    <w:p>
      <w:pPr>
        <w:pStyle w:val="Heading3"/>
      </w:pPr>
      <w:r>
        <w:t xml:space="preserve">3. Financing and dilution risk</w:t>
      </w:r>
    </w:p>
    <w:p>
      <w:pPr>
        <w:pStyle w:val="FirstParagraph"/>
      </w:pPr>
      <w:r>
        <w:t xml:space="preserve">CNP’s growth plan requires substantial external funding. Management entered 2026 with a financing plan designed around debt, asset-sale proceeds, tax benefits and approximately $4 billion of common equity over the planning period.</w:t>
      </w:r>
    </w:p>
    <w:p>
      <w:pPr>
        <w:pStyle w:val="BodyText"/>
      </w:pPr>
      <w:r>
        <w:t xml:space="preserve">The company subsequently established a new</w:t>
      </w:r>
      <w:r>
        <w:t xml:space="preserve"> </w:t>
      </w:r>
      <w:r>
        <w:rPr>
          <w:b/>
          <w:bCs/>
        </w:rPr>
        <w:t xml:space="preserve">$1 billion at-the-market equity program</w:t>
      </w:r>
      <w:r>
        <w:t xml:space="preserve"> </w:t>
      </w:r>
      <w:r>
        <w:t xml:space="preserve">on May 15. It has no obligation to issue shares, and the program can include forward sales, but its existence makes equity issuance an important topic for the call. (</w:t>
      </w:r>
      <w:hyperlink r:id="rId17">
        <w:r>
          <w:rPr>
            <w:rStyle w:val="Hyperlink"/>
          </w:rPr>
          <w:t xml:space="preserve">sec.gov</w:t>
        </w:r>
      </w:hyperlink>
      <w:r>
        <w:t xml:space="preserve">)</w:t>
      </w:r>
    </w:p>
    <w:p>
      <w:pPr>
        <w:pStyle w:val="BodyText"/>
      </w:pPr>
      <w:r>
        <w:t xml:space="preserve">Key questions include:</w:t>
      </w:r>
    </w:p>
    <w:p>
      <w:pPr>
        <w:pStyle w:val="Compact"/>
        <w:numPr>
          <w:ilvl w:val="0"/>
          <w:numId w:val="1005"/>
        </w:numPr>
      </w:pPr>
      <w:r>
        <w:t xml:space="preserve">Did CNP issue or forward-sell any stock during Q2?</w:t>
      </w:r>
    </w:p>
    <w:p>
      <w:pPr>
        <w:pStyle w:val="Compact"/>
        <w:numPr>
          <w:ilvl w:val="0"/>
          <w:numId w:val="1005"/>
        </w:numPr>
      </w:pPr>
      <w:r>
        <w:t xml:space="preserve">Has the expected equity requirement changed?</w:t>
      </w:r>
    </w:p>
    <w:p>
      <w:pPr>
        <w:pStyle w:val="Compact"/>
        <w:numPr>
          <w:ilvl w:val="0"/>
          <w:numId w:val="1005"/>
        </w:numPr>
      </w:pPr>
      <w:r>
        <w:t xml:space="preserve">Will incremental Houston or Indiana investment require additional equity?</w:t>
      </w:r>
    </w:p>
    <w:p>
      <w:pPr>
        <w:pStyle w:val="Compact"/>
        <w:numPr>
          <w:ilvl w:val="0"/>
          <w:numId w:val="1005"/>
        </w:numPr>
      </w:pPr>
      <w:r>
        <w:t xml:space="preserve">How much benefit will lower cash taxes provide?</w:t>
      </w:r>
    </w:p>
    <w:p>
      <w:pPr>
        <w:pStyle w:val="Compact"/>
        <w:numPr>
          <w:ilvl w:val="0"/>
          <w:numId w:val="1005"/>
        </w:numPr>
      </w:pPr>
      <w:r>
        <w:t xml:space="preserve">Is the company still expecting year-end credit metrics to land near the upper end of its targeted cushion?</w:t>
      </w:r>
    </w:p>
    <w:p>
      <w:pPr>
        <w:pStyle w:val="FirstParagraph"/>
      </w:pPr>
      <w:r>
        <w:t xml:space="preserve">The balance-sheet narrative should be judged together with growth. Adding capex is attractive only if associated earnings exceed financing and dilution costs.</w:t>
      </w:r>
    </w:p>
    <w:p>
      <w:r>
        <w:pict>
          <v:rect style="width:0;height:1.5pt" o:hralign="center" o:hrstd="t" o:hr="t"/>
        </w:pict>
      </w:r>
    </w:p>
    <w:bookmarkEnd w:id="18"/>
    <w:bookmarkStart w:id="20" w:name="X95649160ecd703bbad0a83423546093fe059953"/>
    <w:p>
      <w:pPr>
        <w:pStyle w:val="Heading3"/>
      </w:pPr>
      <w:r>
        <w:t xml:space="preserve">4. Regulatory recovery needs to remain timely</w:t>
      </w:r>
    </w:p>
    <w:p>
      <w:pPr>
        <w:pStyle w:val="FirstParagraph"/>
      </w:pPr>
      <w:r>
        <w:t xml:space="preserve">CenterPoint says approximately 85% of its capital investment can be recovered through interim tracker mechanisms, a meaningful advantage for such a large capital program.</w:t>
      </w:r>
    </w:p>
    <w:p>
      <w:pPr>
        <w:pStyle w:val="BodyText"/>
      </w:pPr>
      <w:r>
        <w:t xml:space="preserve">At the end of Q1, the major Texas items included:</w:t>
      </w:r>
    </w:p>
    <w:p>
      <w:pPr>
        <w:pStyle w:val="Compact"/>
        <w:numPr>
          <w:ilvl w:val="0"/>
          <w:numId w:val="1006"/>
        </w:numPr>
      </w:pPr>
      <w:r>
        <w:t xml:space="preserve">A Houston Electric DCRF request initially seeking</w:t>
      </w:r>
      <w:r>
        <w:t xml:space="preserve"> </w:t>
      </w:r>
      <w:r>
        <w:rPr>
          <w:b/>
          <w:bCs/>
        </w:rPr>
        <w:t xml:space="preserve">$108 million</w:t>
      </w:r>
      <w:r>
        <w:t xml:space="preserve"> </w:t>
      </w:r>
      <w:r>
        <w:t xml:space="preserve">of incremental annual revenue. The settlement reduced that amount by $6.2 million, primarily through deferral of certain resiliency investments.</w:t>
      </w:r>
    </w:p>
    <w:p>
      <w:pPr>
        <w:pStyle w:val="Compact"/>
        <w:numPr>
          <w:ilvl w:val="0"/>
          <w:numId w:val="1006"/>
        </w:numPr>
      </w:pPr>
      <w:r>
        <w:t xml:space="preserve">A</w:t>
      </w:r>
      <w:r>
        <w:t xml:space="preserve"> </w:t>
      </w:r>
      <w:r>
        <w:rPr>
          <w:b/>
          <w:bCs/>
        </w:rPr>
        <w:t xml:space="preserve">$36 million TCOS</w:t>
      </w:r>
      <w:r>
        <w:t xml:space="preserve"> </w:t>
      </w:r>
      <w:r>
        <w:t xml:space="preserve">transmission-recovery increase approved in April.</w:t>
      </w:r>
    </w:p>
    <w:p>
      <w:pPr>
        <w:pStyle w:val="Compact"/>
        <w:numPr>
          <w:ilvl w:val="0"/>
          <w:numId w:val="1006"/>
        </w:numPr>
      </w:pPr>
      <w:r>
        <w:t xml:space="preserve">A Texas gas GRIP filing seeking approximately</w:t>
      </w:r>
      <w:r>
        <w:t xml:space="preserve"> </w:t>
      </w:r>
      <w:r>
        <w:rPr>
          <w:b/>
          <w:bCs/>
        </w:rPr>
        <w:t xml:space="preserve">$62 million</w:t>
      </w:r>
      <w:r>
        <w:t xml:space="preserve"> </w:t>
      </w:r>
      <w:r>
        <w:t xml:space="preserve">of additional annual revenue.</w:t>
      </w:r>
    </w:p>
    <w:p>
      <w:pPr>
        <w:pStyle w:val="Compact"/>
        <w:numPr>
          <w:ilvl w:val="0"/>
          <w:numId w:val="1006"/>
        </w:numPr>
      </w:pPr>
      <w:r>
        <w:t xml:space="preserve">Planned Minnesota and Indiana gas rate-case filings later in 2026. (</w:t>
      </w:r>
      <w:hyperlink r:id="rId19">
        <w:r>
          <w:rPr>
            <w:rStyle w:val="Hyperlink"/>
          </w:rPr>
          <w:t xml:space="preserve">sec.gov</w:t>
        </w:r>
      </w:hyperlink>
      <w:r>
        <w:t xml:space="preserve">)</w:t>
      </w:r>
    </w:p>
    <w:p>
      <w:pPr>
        <w:pStyle w:val="FirstParagraph"/>
      </w:pPr>
      <w:r>
        <w:t xml:space="preserve">The Q2 report should clarify effective dates and whether actual recovery remains consistent with earnings guidance.</w:t>
      </w:r>
    </w:p>
    <w:p>
      <w:pPr>
        <w:pStyle w:val="BodyText"/>
      </w:pPr>
      <w:r>
        <w:t xml:space="preserve">The relevant distinction is between:</w:t>
      </w:r>
    </w:p>
    <w:p>
      <w:pPr>
        <w:pStyle w:val="Compact"/>
        <w:numPr>
          <w:ilvl w:val="0"/>
          <w:numId w:val="1007"/>
        </w:numPr>
      </w:pPr>
      <w:r>
        <w:rPr>
          <w:b/>
          <w:bCs/>
        </w:rPr>
        <w:t xml:space="preserve">Normal regulatory timing</w:t>
      </w:r>
      <w:r>
        <w:t xml:space="preserve">, which is manageable; and</w:t>
      </w:r>
    </w:p>
    <w:p>
      <w:pPr>
        <w:pStyle w:val="Compact"/>
        <w:numPr>
          <w:ilvl w:val="0"/>
          <w:numId w:val="1007"/>
        </w:numPr>
      </w:pPr>
      <w:r>
        <w:rPr>
          <w:b/>
          <w:bCs/>
        </w:rPr>
        <w:t xml:space="preserve">Material deferrals or disallowances</w:t>
      </w:r>
      <w:r>
        <w:t xml:space="preserve">, which could pressure cash flow, credit metrics and confidence in the capital plan.</w:t>
      </w:r>
    </w:p>
    <w:p>
      <w:r>
        <w:pict>
          <v:rect style="width:0;height:1.5pt" o:hralign="center" o:hrstd="t" o:hr="t"/>
        </w:pict>
      </w:r>
    </w:p>
    <w:bookmarkEnd w:id="20"/>
    <w:bookmarkStart w:id="21" w:name="X3c048cfdf7b17510283910a35f0a3bf8add3adb"/>
    <w:p>
      <w:pPr>
        <w:pStyle w:val="Heading3"/>
      </w:pPr>
      <w:r>
        <w:t xml:space="preserve">5. O&amp;M and interest expense</w:t>
      </w:r>
    </w:p>
    <w:p>
      <w:pPr>
        <w:pStyle w:val="FirstParagraph"/>
      </w:pPr>
      <w:r>
        <w:t xml:space="preserve">Q1 adjusted EPS benefited from $0.11 per share of growth and regulatory recovery, but this was partly offset by:</w:t>
      </w:r>
    </w:p>
    <w:p>
      <w:pPr>
        <w:pStyle w:val="Compact"/>
        <w:numPr>
          <w:ilvl w:val="0"/>
          <w:numId w:val="1008"/>
        </w:numPr>
      </w:pPr>
      <w:r>
        <w:rPr>
          <w:b/>
          <w:bCs/>
        </w:rPr>
        <w:t xml:space="preserve">$0.04 per share of higher interest expense.</w:t>
      </w:r>
    </w:p>
    <w:p>
      <w:pPr>
        <w:pStyle w:val="Compact"/>
        <w:numPr>
          <w:ilvl w:val="0"/>
          <w:numId w:val="1008"/>
        </w:numPr>
      </w:pPr>
      <w:r>
        <w:rPr>
          <w:b/>
          <w:bCs/>
        </w:rPr>
        <w:t xml:space="preserve">$0.02 of unfavorable weather and usage.</w:t>
      </w:r>
    </w:p>
    <w:p>
      <w:pPr>
        <w:pStyle w:val="Compact"/>
        <w:numPr>
          <w:ilvl w:val="0"/>
          <w:numId w:val="1008"/>
        </w:numPr>
      </w:pPr>
      <w:r>
        <w:t xml:space="preserve">Lost earnings following the Louisiana and Mississippi gas divestitures.</w:t>
      </w:r>
    </w:p>
    <w:p>
      <w:pPr>
        <w:pStyle w:val="FirstParagraph"/>
      </w:pPr>
      <w:r>
        <w:t xml:space="preserve">Higher interest expense is an expected consequence of the capital program, but it remains one of the clearest near-term offsets to rate-base growth. Investors should watch whether management still expects financing costs to be adequately absorbed within guidance.</w:t>
      </w:r>
    </w:p>
    <w:p>
      <w:pPr>
        <w:pStyle w:val="BodyText"/>
      </w:pPr>
      <w:r>
        <w:t xml:space="preserve">O&amp;M is equally important. CenterPoint continues to spend heavily on vegetation management, grid resiliency and hurricane preparedness. A favorable report would show that these programs remain on budget without compromising reliability.</w:t>
      </w:r>
    </w:p>
    <w:bookmarkEnd w:id="21"/>
    <w:bookmarkEnd w:id="22"/>
    <w:bookmarkStart w:id="27" w:name="other-potential-catalysts"/>
    <w:p>
      <w:pPr>
        <w:pStyle w:val="Heading2"/>
      </w:pPr>
      <w:r>
        <w:t xml:space="preserve">Other potential catalysts</w:t>
      </w:r>
    </w:p>
    <w:bookmarkStart w:id="23" w:name="indiana-large-load-opportunity"/>
    <w:p>
      <w:pPr>
        <w:pStyle w:val="Heading3"/>
      </w:pPr>
      <w:r>
        <w:t xml:space="preserve">Indiana large-load opportunity</w:t>
      </w:r>
    </w:p>
    <w:p>
      <w:pPr>
        <w:pStyle w:val="FirstParagraph"/>
      </w:pPr>
      <w:r>
        <w:t xml:space="preserve">Management has discussed a potential</w:t>
      </w:r>
      <w:r>
        <w:t xml:space="preserve"> </w:t>
      </w:r>
      <w:r>
        <w:rPr>
          <w:b/>
          <w:bCs/>
        </w:rPr>
        <w:t xml:space="preserve">1.5-GW large-load customer</w:t>
      </w:r>
      <w:r>
        <w:t xml:space="preserve"> </w:t>
      </w:r>
      <w:r>
        <w:t xml:space="preserve">in southern Indiana. The initial opportunity could support approximately</w:t>
      </w:r>
      <w:r>
        <w:t xml:space="preserve"> </w:t>
      </w:r>
      <w:r>
        <w:rPr>
          <w:b/>
          <w:bCs/>
        </w:rPr>
        <w:t xml:space="preserve">$1 billion of incremental capital investment during 2027–2029</w:t>
      </w:r>
      <w:r>
        <w:t xml:space="preserve">, including transmission work and conversion of an existing simple-cycle facility to combined-cycle generation.</w:t>
      </w:r>
    </w:p>
    <w:p>
      <w:pPr>
        <w:pStyle w:val="BodyText"/>
      </w:pPr>
      <w:r>
        <w:t xml:space="preserve">Any indication that the customer is approaching a binding agreement would provide a second major growth platform outside Houston. Conversely, continued vague language would suggest the project remains at an early stage.</w:t>
      </w:r>
    </w:p>
    <w:bookmarkEnd w:id="23"/>
    <w:bookmarkStart w:id="25" w:name="ohio-gas-sale"/>
    <w:p>
      <w:pPr>
        <w:pStyle w:val="Heading3"/>
      </w:pPr>
      <w:r>
        <w:t xml:space="preserve">Ohio gas sale</w:t>
      </w:r>
    </w:p>
    <w:p>
      <w:pPr>
        <w:pStyle w:val="FirstParagraph"/>
      </w:pPr>
      <w:r>
        <w:t xml:space="preserve">CenterPoint agreed to sell its Ohio gas utility to National Fuel Gas for</w:t>
      </w:r>
      <w:r>
        <w:t xml:space="preserve"> </w:t>
      </w:r>
      <w:r>
        <w:rPr>
          <w:b/>
          <w:bCs/>
        </w:rPr>
        <w:t xml:space="preserve">$2.62 billion</w:t>
      </w:r>
      <w:r>
        <w:t xml:space="preserve">. Closing is still expected in the fourth quarter of 2026, with approximately $1.42 billion expected at closing and the remaining $1.2 billion represented by a seller note. (</w:t>
      </w:r>
      <w:hyperlink r:id="rId24">
        <w:r>
          <w:rPr>
            <w:rStyle w:val="Hyperlink"/>
          </w:rPr>
          <w:t xml:space="preserve">sec.gov</w:t>
        </w:r>
      </w:hyperlink>
      <w:r>
        <w:t xml:space="preserve">)</w:t>
      </w:r>
    </w:p>
    <w:p>
      <w:pPr>
        <w:pStyle w:val="BodyText"/>
      </w:pPr>
      <w:r>
        <w:t xml:space="preserve">Investors should watch for:</w:t>
      </w:r>
    </w:p>
    <w:p>
      <w:pPr>
        <w:pStyle w:val="Compact"/>
        <w:numPr>
          <w:ilvl w:val="0"/>
          <w:numId w:val="1009"/>
        </w:numPr>
      </w:pPr>
      <w:r>
        <w:t xml:space="preserve">Confirmation of the Q4 closing timetable.</w:t>
      </w:r>
    </w:p>
    <w:p>
      <w:pPr>
        <w:pStyle w:val="Compact"/>
        <w:numPr>
          <w:ilvl w:val="0"/>
          <w:numId w:val="1009"/>
        </w:numPr>
      </w:pPr>
      <w:r>
        <w:t xml:space="preserve">Regulatory or closing-condition developments.</w:t>
      </w:r>
    </w:p>
    <w:p>
      <w:pPr>
        <w:pStyle w:val="Compact"/>
        <w:numPr>
          <w:ilvl w:val="0"/>
          <w:numId w:val="1009"/>
        </w:numPr>
      </w:pPr>
      <w:r>
        <w:t xml:space="preserve">Any change in expected proceeds.</w:t>
      </w:r>
    </w:p>
    <w:p>
      <w:pPr>
        <w:pStyle w:val="Compact"/>
        <w:numPr>
          <w:ilvl w:val="0"/>
          <w:numId w:val="1009"/>
        </w:numPr>
      </w:pPr>
      <w:r>
        <w:t xml:space="preserve">How proceeds will be allocated between capital spending and balance-sheet support.</w:t>
      </w:r>
    </w:p>
    <w:bookmarkEnd w:id="25"/>
    <w:bookmarkStart w:id="26" w:name="mobile-generation-units"/>
    <w:p>
      <w:pPr>
        <w:pStyle w:val="Heading3"/>
      </w:pPr>
      <w:r>
        <w:t xml:space="preserve">Mobile generation units</w:t>
      </w:r>
    </w:p>
    <w:p>
      <w:pPr>
        <w:pStyle w:val="FirstParagraph"/>
      </w:pPr>
      <w:r>
        <w:t xml:space="preserve">Management previously described strong market interest in mobile generation equipment removed from Houston Electric’s regulated rate base. Smaller units were being marketed, while larger units serving the San Antonio area were expected to become available around spring 2027.</w:t>
      </w:r>
    </w:p>
    <w:p>
      <w:pPr>
        <w:pStyle w:val="BodyText"/>
      </w:pPr>
      <w:r>
        <w:t xml:space="preserve">A sale or new lease could create cash upside, although this is secondary to the load-growth and financing narratives.</w:t>
      </w:r>
    </w:p>
    <w:bookmarkEnd w:id="26"/>
    <w:bookmarkEnd w:id="27"/>
    <w:bookmarkStart w:id="31" w:name="earnings-scorecard"/>
    <w:p>
      <w:pPr>
        <w:pStyle w:val="Heading2"/>
      </w:pPr>
      <w:r>
        <w:t xml:space="preserve">Earnings scorecard</w:t>
      </w:r>
    </w:p>
    <w:bookmarkStart w:id="28" w:name="bullish-outcome"/>
    <w:p>
      <w:pPr>
        <w:pStyle w:val="Heading3"/>
      </w:pPr>
      <w:r>
        <w:t xml:space="preserve">Bullish outcome</w:t>
      </w:r>
    </w:p>
    <w:p>
      <w:pPr>
        <w:pStyle w:val="Compact"/>
        <w:numPr>
          <w:ilvl w:val="0"/>
          <w:numId w:val="1010"/>
        </w:numPr>
      </w:pPr>
      <w:r>
        <w:t xml:space="preserve">Adjusted EPS meets or modestly exceeds $0.37.</w:t>
      </w:r>
    </w:p>
    <w:p>
      <w:pPr>
        <w:pStyle w:val="Compact"/>
        <w:numPr>
          <w:ilvl w:val="0"/>
          <w:numId w:val="1010"/>
        </w:numPr>
      </w:pPr>
      <w:r>
        <w:t xml:space="preserve">Full-year guidance is reiterated with increased confidence in the upper end.</w:t>
      </w:r>
    </w:p>
    <w:p>
      <w:pPr>
        <w:pStyle w:val="Compact"/>
        <w:numPr>
          <w:ilvl w:val="0"/>
          <w:numId w:val="1010"/>
        </w:numPr>
      </w:pPr>
      <w:r>
        <w:t xml:space="preserve">ERCOT approvals and construction materially advance.</w:t>
      </w:r>
    </w:p>
    <w:p>
      <w:pPr>
        <w:pStyle w:val="Compact"/>
        <w:numPr>
          <w:ilvl w:val="0"/>
          <w:numId w:val="1010"/>
        </w:numPr>
      </w:pPr>
      <w:r>
        <w:t xml:space="preserve">Houston energization dates remain intact.</w:t>
      </w:r>
    </w:p>
    <w:p>
      <w:pPr>
        <w:pStyle w:val="Compact"/>
        <w:numPr>
          <w:ilvl w:val="0"/>
          <w:numId w:val="1010"/>
        </w:numPr>
      </w:pPr>
      <w:r>
        <w:t xml:space="preserve">Management provides a firmer timeline or preliminary scope for incremental transmission investment.</w:t>
      </w:r>
    </w:p>
    <w:p>
      <w:pPr>
        <w:pStyle w:val="Compact"/>
        <w:numPr>
          <w:ilvl w:val="0"/>
          <w:numId w:val="1010"/>
        </w:numPr>
      </w:pPr>
      <w:r>
        <w:t xml:space="preserve">No unexpected ATM issuance or increase in equity needs.</w:t>
      </w:r>
    </w:p>
    <w:p>
      <w:pPr>
        <w:pStyle w:val="Compact"/>
        <w:numPr>
          <w:ilvl w:val="0"/>
          <w:numId w:val="1010"/>
        </w:numPr>
      </w:pPr>
      <w:r>
        <w:t xml:space="preserve">Indiana large-load negotiations advance.</w:t>
      </w:r>
    </w:p>
    <w:p>
      <w:pPr>
        <w:pStyle w:val="Compact"/>
        <w:numPr>
          <w:ilvl w:val="0"/>
          <w:numId w:val="1010"/>
        </w:numPr>
      </w:pPr>
      <w:r>
        <w:t xml:space="preserve">Ohio sale remains on schedule.</w:t>
      </w:r>
    </w:p>
    <w:bookmarkEnd w:id="28"/>
    <w:bookmarkStart w:id="29" w:name="neutral-outcome"/>
    <w:p>
      <w:pPr>
        <w:pStyle w:val="Heading3"/>
      </w:pPr>
      <w:r>
        <w:t xml:space="preserve">Neutral outcome</w:t>
      </w:r>
    </w:p>
    <w:p>
      <w:pPr>
        <w:pStyle w:val="Compact"/>
        <w:numPr>
          <w:ilvl w:val="0"/>
          <w:numId w:val="1011"/>
        </w:numPr>
      </w:pPr>
      <w:r>
        <w:t xml:space="preserve">EPS is near consensus.</w:t>
      </w:r>
    </w:p>
    <w:p>
      <w:pPr>
        <w:pStyle w:val="Compact"/>
        <w:numPr>
          <w:ilvl w:val="0"/>
          <w:numId w:val="1011"/>
        </w:numPr>
      </w:pPr>
      <w:r>
        <w:t xml:space="preserve">Guidance remains unchanged.</w:t>
      </w:r>
    </w:p>
    <w:p>
      <w:pPr>
        <w:pStyle w:val="Compact"/>
        <w:numPr>
          <w:ilvl w:val="0"/>
          <w:numId w:val="1011"/>
        </w:numPr>
      </w:pPr>
      <w:r>
        <w:t xml:space="preserve">Load figures are repeated with limited new detail.</w:t>
      </w:r>
    </w:p>
    <w:p>
      <w:pPr>
        <w:pStyle w:val="Compact"/>
        <w:numPr>
          <w:ilvl w:val="0"/>
          <w:numId w:val="1011"/>
        </w:numPr>
      </w:pPr>
      <w:r>
        <w:t xml:space="preserve">Regulatory recovery and capex remain on track.</w:t>
      </w:r>
    </w:p>
    <w:p>
      <w:pPr>
        <w:pStyle w:val="Compact"/>
        <w:numPr>
          <w:ilvl w:val="0"/>
          <w:numId w:val="1011"/>
        </w:numPr>
      </w:pPr>
      <w:r>
        <w:t xml:space="preserve">Management defers major transmission and Indiana updates until later in 2026.</w:t>
      </w:r>
    </w:p>
    <w:p>
      <w:pPr>
        <w:pStyle w:val="FirstParagraph"/>
      </w:pPr>
      <w:r>
        <w:t xml:space="preserve">This would be operationally acceptable, but the stock’s valuation may limit the positive reaction.</w:t>
      </w:r>
    </w:p>
    <w:bookmarkEnd w:id="29"/>
    <w:bookmarkStart w:id="30" w:name="bearish-outcome"/>
    <w:p>
      <w:pPr>
        <w:pStyle w:val="Heading3"/>
      </w:pPr>
      <w:r>
        <w:t xml:space="preserve">Bearish outcome</w:t>
      </w:r>
    </w:p>
    <w:p>
      <w:pPr>
        <w:pStyle w:val="Compact"/>
        <w:numPr>
          <w:ilvl w:val="0"/>
          <w:numId w:val="1012"/>
        </w:numPr>
      </w:pPr>
      <w:r>
        <w:t xml:space="preserve">Guidance is reduced or management no longer targets at least the midpoint.</w:t>
      </w:r>
    </w:p>
    <w:p>
      <w:pPr>
        <w:pStyle w:val="Compact"/>
        <w:numPr>
          <w:ilvl w:val="0"/>
          <w:numId w:val="1012"/>
        </w:numPr>
      </w:pPr>
      <w:r>
        <w:t xml:space="preserve">Houston projects experience approval or energization delays.</w:t>
      </w:r>
    </w:p>
    <w:p>
      <w:pPr>
        <w:pStyle w:val="Compact"/>
        <w:numPr>
          <w:ilvl w:val="0"/>
          <w:numId w:val="1012"/>
        </w:numPr>
      </w:pPr>
      <w:r>
        <w:t xml:space="preserve">Firm-load definitions become less stringent or management avoids discussing customer commitments.</w:t>
      </w:r>
    </w:p>
    <w:p>
      <w:pPr>
        <w:pStyle w:val="Compact"/>
        <w:numPr>
          <w:ilvl w:val="0"/>
          <w:numId w:val="1012"/>
        </w:numPr>
      </w:pPr>
      <w:r>
        <w:t xml:space="preserve">The transmission study is delayed.</w:t>
      </w:r>
    </w:p>
    <w:p>
      <w:pPr>
        <w:pStyle w:val="Compact"/>
        <w:numPr>
          <w:ilvl w:val="0"/>
          <w:numId w:val="1012"/>
        </w:numPr>
      </w:pPr>
      <w:r>
        <w:t xml:space="preserve">Equity needs rise beyond the existing plan.</w:t>
      </w:r>
    </w:p>
    <w:p>
      <w:pPr>
        <w:pStyle w:val="Compact"/>
        <w:numPr>
          <w:ilvl w:val="0"/>
          <w:numId w:val="1012"/>
        </w:numPr>
      </w:pPr>
      <w:r>
        <w:t xml:space="preserve">Credit metrics weaken or the company uses the ATM more aggressively than expected.</w:t>
      </w:r>
    </w:p>
    <w:p>
      <w:pPr>
        <w:pStyle w:val="Compact"/>
        <w:numPr>
          <w:ilvl w:val="0"/>
          <w:numId w:val="1012"/>
        </w:numPr>
      </w:pPr>
      <w:r>
        <w:t xml:space="preserve">Material regulatory deferrals or cost overruns emerge.</w:t>
      </w:r>
    </w:p>
    <w:bookmarkEnd w:id="30"/>
    <w:bookmarkEnd w:id="31"/>
    <w:bookmarkStart w:id="32" w:name="questions-investors-should-want-answered"/>
    <w:p>
      <w:pPr>
        <w:pStyle w:val="Heading2"/>
      </w:pPr>
      <w:r>
        <w:t xml:space="preserve">Questions investors should want answered</w:t>
      </w:r>
    </w:p>
    <w:p>
      <w:pPr>
        <w:pStyle w:val="Compact"/>
        <w:numPr>
          <w:ilvl w:val="0"/>
          <w:numId w:val="1013"/>
        </w:numPr>
      </w:pPr>
      <w:r>
        <w:t xml:space="preserve">How much of the 12.2 GW of committed Houston load is now ERCOT-approved?</w:t>
      </w:r>
    </w:p>
    <w:p>
      <w:pPr>
        <w:pStyle w:val="Compact"/>
        <w:numPr>
          <w:ilvl w:val="0"/>
          <w:numId w:val="1013"/>
        </w:numPr>
      </w:pPr>
      <w:r>
        <w:t xml:space="preserve">Has the committed figure changed since April?</w:t>
      </w:r>
    </w:p>
    <w:p>
      <w:pPr>
        <w:pStyle w:val="Compact"/>
        <w:numPr>
          <w:ilvl w:val="0"/>
          <w:numId w:val="1013"/>
        </w:numPr>
      </w:pPr>
      <w:r>
        <w:t xml:space="preserve">Are the approximately 8 GW of near-term projects still on their original energization schedules?</w:t>
      </w:r>
    </w:p>
    <w:p>
      <w:pPr>
        <w:pStyle w:val="Compact"/>
        <w:numPr>
          <w:ilvl w:val="0"/>
          <w:numId w:val="1013"/>
        </w:numPr>
      </w:pPr>
      <w:r>
        <w:t xml:space="preserve">When will the Houston transmission study be completed and quantified?</w:t>
      </w:r>
    </w:p>
    <w:p>
      <w:pPr>
        <w:pStyle w:val="Compact"/>
        <w:numPr>
          <w:ilvl w:val="0"/>
          <w:numId w:val="1013"/>
        </w:numPr>
      </w:pPr>
      <w:r>
        <w:t xml:space="preserve">Has CNP issued or forward-sold shares under the new $1 billion ATM?</w:t>
      </w:r>
    </w:p>
    <w:p>
      <w:pPr>
        <w:pStyle w:val="Compact"/>
        <w:numPr>
          <w:ilvl w:val="0"/>
          <w:numId w:val="1013"/>
        </w:numPr>
      </w:pPr>
      <w:r>
        <w:t xml:space="preserve">What is the updated year-end FFO-to-debt outlook?</w:t>
      </w:r>
    </w:p>
    <w:p>
      <w:pPr>
        <w:pStyle w:val="Compact"/>
        <w:numPr>
          <w:ilvl w:val="0"/>
          <w:numId w:val="1013"/>
        </w:numPr>
      </w:pPr>
      <w:r>
        <w:t xml:space="preserve">Can incremental capex still be financed without increasing the long-term equity requirement?</w:t>
      </w:r>
    </w:p>
    <w:p>
      <w:pPr>
        <w:pStyle w:val="Compact"/>
        <w:numPr>
          <w:ilvl w:val="0"/>
          <w:numId w:val="1013"/>
        </w:numPr>
      </w:pPr>
      <w:r>
        <w:t xml:space="preserve">Has the Indiana large-load customer made a binding commitment?</w:t>
      </w:r>
    </w:p>
    <w:p>
      <w:pPr>
        <w:pStyle w:val="Compact"/>
        <w:numPr>
          <w:ilvl w:val="0"/>
          <w:numId w:val="1013"/>
        </w:numPr>
      </w:pPr>
      <w:r>
        <w:t xml:space="preserve">Are all major Texas capital trackers now reflected in rates?</w:t>
      </w:r>
    </w:p>
    <w:p>
      <w:pPr>
        <w:pStyle w:val="Compact"/>
        <w:numPr>
          <w:ilvl w:val="0"/>
          <w:numId w:val="1013"/>
        </w:numPr>
      </w:pPr>
      <w:r>
        <w:t xml:space="preserve">Does management still expect the Ohio transaction to close in Q4 2026?</w:t>
      </w:r>
    </w:p>
    <w:bookmarkEnd w:id="32"/>
    <w:bookmarkStart w:id="33" w:name="bottom-line"/>
    <w:p>
      <w:pPr>
        <w:pStyle w:val="Heading2"/>
      </w:pPr>
      <w:r>
        <w:t xml:space="preserve">Bottom line</w:t>
      </w:r>
    </w:p>
    <w:p>
      <w:pPr>
        <w:pStyle w:val="FirstParagraph"/>
      </w:pPr>
      <w:r>
        <w:t xml:space="preserve">CNP’s Q2 earnings number is unlikely to settle the investment debate. The central issue is whether the company can turn exceptional Houston load demand into</w:t>
      </w:r>
      <w:r>
        <w:t xml:space="preserve"> </w:t>
      </w:r>
      <w:r>
        <w:rPr>
          <w:b/>
          <w:bCs/>
        </w:rPr>
        <w:t xml:space="preserve">timely, regulator-approved and efficiently financed earnings growth</w:t>
      </w:r>
      <w:r>
        <w:t xml:space="preserve">.</w:t>
      </w:r>
    </w:p>
    <w:p>
      <w:pPr>
        <w:pStyle w:val="BodyText"/>
      </w:pPr>
      <w:r>
        <w:t xml:space="preserve">A $0.37 quarter with maintained guidance would be adequate. A genuinely strong report would also show visible progress on ERCOT approvals, protect the energization schedule, provide greater confidence in future transmission investment and demonstrate that the capital plan does not require more dilution than investors already expect.</w:t>
      </w:r>
    </w:p>
    <w:p>
      <w:pPr>
        <w:pStyle w:val="BodyText"/>
      </w:pPr>
      <w:r>
        <w:t xml:space="preserve">At the current valuation, the market is already assigning substantial value to the load-growth story. The burden is therefore on management to show that the 12.2-GW commitment is becoming physical load, demand revenue and recoverable rate base—not merely a large interconnection pipeline.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centerpointener.gcs-web.com/" TargetMode="External" /><Relationship Type="http://schemas.openxmlformats.org/officeDocument/2006/relationships/hyperlink" Id="rId14" Target="https://investors.centerpointenergy.com/news-releases/news-release-details/centerpoint-energy-reports-strong-q1-2026-results-reiterates?utm_source=openai" TargetMode="External" /><Relationship Type="http://schemas.openxmlformats.org/officeDocument/2006/relationships/hyperlink" Id="rId10" Target="https://www.boursorama.com/cours/consensus/CNP/" TargetMode="External" /><Relationship Type="http://schemas.openxmlformats.org/officeDocument/2006/relationships/hyperlink" Id="rId17" Target="https://www.sec.gov/Archives/edgar/data/1130310/000110465926062779/tm2614151d3_8k.htm" TargetMode="External" /><Relationship Type="http://schemas.openxmlformats.org/officeDocument/2006/relationships/hyperlink" Id="rId19" Target="https://www.sec.gov/Archives/edgar/data/1130310/000113031026000028/cnp-20260331.htm" TargetMode="External" /><Relationship Type="http://schemas.openxmlformats.org/officeDocument/2006/relationships/hyperlink" Id="rId24" Target="https://www.sec.gov/Archives/edgar/data/70145/000119312526238061/d90390d8k.htm?utm_source=openai" TargetMode="External" /><Relationship Type="http://schemas.openxmlformats.org/officeDocument/2006/relationships/hyperlink" Id="rId12" Target="https://www.tipranks.com/stocks/cnp/earnings" TargetMode="External" /></Relationships>
</file>

<file path=word/_rels/footnotes.xml.rels><?xml version="1.0" encoding="UTF-8"?><Relationships xmlns="http://schemas.openxmlformats.org/package/2006/relationships"><Relationship Type="http://schemas.openxmlformats.org/officeDocument/2006/relationships/hyperlink" Id="rId9" Target="https://centerpointener.gcs-web.com/" TargetMode="External" /><Relationship Type="http://schemas.openxmlformats.org/officeDocument/2006/relationships/hyperlink" Id="rId14" Target="https://investors.centerpointenergy.com/news-releases/news-release-details/centerpoint-energy-reports-strong-q1-2026-results-reiterates?utm_source=openai" TargetMode="External" /><Relationship Type="http://schemas.openxmlformats.org/officeDocument/2006/relationships/hyperlink" Id="rId10" Target="https://www.boursorama.com/cours/consensus/CNP/" TargetMode="External" /><Relationship Type="http://schemas.openxmlformats.org/officeDocument/2006/relationships/hyperlink" Id="rId17" Target="https://www.sec.gov/Archives/edgar/data/1130310/000110465926062779/tm2614151d3_8k.htm" TargetMode="External" /><Relationship Type="http://schemas.openxmlformats.org/officeDocument/2006/relationships/hyperlink" Id="rId19" Target="https://www.sec.gov/Archives/edgar/data/1130310/000113031026000028/cnp-20260331.htm" TargetMode="External" /><Relationship Type="http://schemas.openxmlformats.org/officeDocument/2006/relationships/hyperlink" Id="rId24" Target="https://www.sec.gov/Archives/edgar/data/70145/000119312526238061/d90390d8k.htm?utm_source=openai" TargetMode="External" /><Relationship Type="http://schemas.openxmlformats.org/officeDocument/2006/relationships/hyperlink" Id="rId12" Target="https://www.tipranks.com/stocks/cnp/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2026-07-28T01:06:33Z</dcterms:created>
  <dcterms:modified xsi:type="dcterms:W3CDTF">2026-07-28T01:06:33Z</dcterms:modified>
</cp:coreProperties>
</file>

<file path=docProps/custom.xml><?xml version="1.0" encoding="utf-8"?>
<Properties xmlns="http://schemas.openxmlformats.org/officeDocument/2006/custom-properties" xmlns:vt="http://schemas.openxmlformats.org/officeDocument/2006/docPropsVTypes"/>
</file>