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9" w:name="X6695a6262b857191c2ac8521f74ab6adc9dd3d9"/>
    <w:p>
      <w:pPr>
        <w:pStyle w:val="Heading1"/>
      </w:pPr>
      <w:r>
        <w:t xml:space="preserve">CenterPoint Energy (NYSE: CNP) — 2Q26 Earnings Preview</w:t>
      </w:r>
    </w:p>
    <w:p>
      <w:pPr>
        <w:pStyle w:val="BlockText"/>
      </w:pPr>
      <w:r>
        <w:rPr>
          <w:b/>
          <w:bCs/>
        </w:rPr>
        <w:t xml:space="preserve">Timing clarification:</w:t>
      </w:r>
      <w:r>
        <w:t xml:space="preserve"> </w:t>
      </w:r>
      <w:r>
        <w:t xml:space="preserve">The stated event date is</w:t>
      </w:r>
      <w:r>
        <w:t xml:space="preserve"> </w:t>
      </w:r>
      <w:r>
        <w:rPr>
          <w:b/>
          <w:bCs/>
        </w:rPr>
        <w:t xml:space="preserve">Tuesday, July 28, 2026</w:t>
      </w:r>
      <w:r>
        <w:t xml:space="preserve">, which is</w:t>
      </w:r>
      <w:r>
        <w:t xml:space="preserve"> </w:t>
      </w:r>
      <w:r>
        <w:rPr>
          <w:b/>
          <w:bCs/>
        </w:rPr>
        <w:t xml:space="preserve">today</w:t>
      </w:r>
      <w:r>
        <w:t xml:space="preserve">, not tomorrow. This preview therefore reflects the setup immediately ahead of CenterPoint’s 2Q26 release and earnings call.</w:t>
      </w:r>
    </w:p>
    <w:bookmarkStart w:id="9" w:name="Xbf1c8634ee7abaf638f929781d65118677fcd3f"/>
    <w:p>
      <w:pPr>
        <w:pStyle w:val="Heading2"/>
      </w:pPr>
      <w:r>
        <w:t xml:space="preserve">Investment view: the quarter matters less than confirmation of the growth-and-funding narrative</w:t>
      </w:r>
    </w:p>
    <w:p>
      <w:pPr>
        <w:pStyle w:val="FirstParagraph"/>
      </w:pPr>
      <w:r>
        <w:t xml:space="preserve">CNP enters 2Q26 with a compelling but increasingly well-understood long-term story: regulated rate-base growth, Houston-area economic expansion, and unusually tangible large-load opportunities. The key question for investors is not simply whether the company meets quarterly EPS expectations, but whether management can further substantiate that its accelerated capital plan and large-load pipeline can be executed</w:t>
      </w:r>
      <w:r>
        <w:t xml:space="preserve"> </w:t>
      </w:r>
      <w:r>
        <w:rPr>
          <w:b/>
          <w:bCs/>
        </w:rPr>
        <w:t xml:space="preserve">without weakening affordability, credit metrics, or per-share growth</w:t>
      </w:r>
      <w:r>
        <w:t xml:space="preserve">.</w:t>
      </w:r>
    </w:p>
    <w:p>
      <w:pPr>
        <w:pStyle w:val="BodyText"/>
      </w:pPr>
      <w:r>
        <w:t xml:space="preserve">The setup appears constructive. In 1Q26, CNP delivered</w:t>
      </w:r>
      <w:r>
        <w:t xml:space="preserve"> </w:t>
      </w:r>
      <w:r>
        <w:rPr>
          <w:b/>
          <w:bCs/>
        </w:rPr>
        <w:t xml:space="preserve">$0.56 of non-GAAP EPS</w:t>
      </w:r>
      <w:r>
        <w:t xml:space="preserve">, up from</w:t>
      </w:r>
      <w:r>
        <w:t xml:space="preserve"> </w:t>
      </w:r>
      <m:oMath>
        <m:r>
          <m:t>0.53</m:t>
        </m:r>
        <m:r>
          <m:t>a</m:t>
        </m:r>
        <m:r>
          <m:t>y</m:t>
        </m:r>
        <m:r>
          <m:t>e</m:t>
        </m:r>
        <m:r>
          <m:t>a</m:t>
        </m:r>
        <m:r>
          <m:t>r</m:t>
        </m:r>
        <m:r>
          <m:t>e</m:t>
        </m:r>
        <m:r>
          <m:t>a</m:t>
        </m:r>
        <m:r>
          <m:t>r</m:t>
        </m:r>
        <m:r>
          <m:t>l</m:t>
        </m:r>
        <m:r>
          <m:t>i</m:t>
        </m:r>
        <m:r>
          <m:t>e</m:t>
        </m:r>
        <m:r>
          <m:t>r</m:t>
        </m:r>
        <m:r>
          <m:rPr>
            <m:sty m:val="p"/>
          </m:rPr>
          <m:t>,</m:t>
        </m:r>
        <m:r>
          <m:t>a</m:t>
        </m:r>
        <m:r>
          <m:t>n</m:t>
        </m:r>
        <m:r>
          <m:t>d</m:t>
        </m:r>
        <m:r>
          <m:t>r</m:t>
        </m:r>
        <m:r>
          <m:t>e</m:t>
        </m:r>
        <m:r>
          <m:t>i</m:t>
        </m:r>
        <m:r>
          <m:t>t</m:t>
        </m:r>
        <m:r>
          <m:t>e</m:t>
        </m:r>
        <m:r>
          <m:t>r</m:t>
        </m:r>
        <m:r>
          <m:t>a</m:t>
        </m:r>
        <m:r>
          <m:t>t</m:t>
        </m:r>
        <m:r>
          <m:t>e</m:t>
        </m:r>
        <m:r>
          <m:t>d</m:t>
        </m:r>
        <m:r>
          <m:t>2026</m:t>
        </m:r>
        <m:r>
          <m:t>n</m:t>
        </m:r>
        <m:r>
          <m:t>o</m:t>
        </m:r>
        <m:r>
          <m:t>n</m:t>
        </m:r>
        <m:r>
          <m:rPr>
            <m:sty m:val="p"/>
          </m:rPr>
          <m:t>−</m:t>
        </m:r>
        <m:r>
          <m:t>G</m:t>
        </m:r>
        <m:r>
          <m:t>A</m:t>
        </m:r>
        <m:r>
          <m:t>A</m:t>
        </m:r>
        <m:r>
          <m:t>P</m:t>
        </m:r>
        <m:r>
          <m:t>E</m:t>
        </m:r>
        <m:r>
          <m:t>P</m:t>
        </m:r>
        <m:r>
          <m:t>S</m:t>
        </m:r>
        <m:r>
          <m:t>g</m:t>
        </m:r>
        <m:r>
          <m:t>u</m:t>
        </m:r>
        <m:r>
          <m:t>i</m:t>
        </m:r>
        <m:r>
          <m:t>d</m:t>
        </m:r>
        <m:r>
          <m:t>a</m:t>
        </m:r>
        <m:r>
          <m:t>n</m:t>
        </m:r>
        <m:r>
          <m:t>c</m:t>
        </m:r>
        <m:r>
          <m:t>e</m:t>
        </m:r>
        <m:r>
          <m:t>o</m:t>
        </m:r>
        <m:r>
          <m:t>f</m:t>
        </m:r>
        <m:r>
          <m:rPr>
            <m:sty m:val="p"/>
          </m:rPr>
          <m:t>*</m:t>
        </m:r>
        <m:r>
          <m:rPr>
            <m:sty m:val="p"/>
          </m:rPr>
          <m:t>*</m:t>
        </m:r>
      </m:oMath>
      <w:r>
        <w:t xml:space="preserve">1.89–$1.91**—with management targeting at least the midpoint. Rate recovery and growth added $0.11 per share year over year, more than offsetting milder weather, higher interest expense, and the earnings foregone from prior gas-LDC divestitures. citeturn0fetch0</w:t>
      </w:r>
    </w:p>
    <w:p>
      <w:pPr>
        <w:pStyle w:val="BodyText"/>
      </w:pPr>
      <w:r>
        <w:t xml:space="preserve">Still, the stock has already outperformed utilities year to date: CNP closed July 27 at</w:t>
      </w:r>
      <w:r>
        <w:t xml:space="preserve"> </w:t>
      </w:r>
      <w:r>
        <w:rPr>
          <w:b/>
          <w:bCs/>
        </w:rPr>
        <w:t xml:space="preserve">$44.02</w:t>
      </w:r>
      <w:r>
        <w:t xml:space="preserve">, up roughly</w:t>
      </w:r>
      <w:r>
        <w:t xml:space="preserve"> </w:t>
      </w:r>
      <w:r>
        <w:rPr>
          <w:b/>
          <w:bCs/>
        </w:rPr>
        <w:t xml:space="preserve">14%</w:t>
      </w:r>
      <w:r>
        <w:t xml:space="preserve"> </w:t>
      </w:r>
      <w:r>
        <w:t xml:space="preserve">from January 2, versus approximately</w:t>
      </w:r>
      <w:r>
        <w:t xml:space="preserve"> </w:t>
      </w:r>
      <w:r>
        <w:rPr>
          <w:b/>
          <w:bCs/>
        </w:rPr>
        <w:t xml:space="preserve">6%</w:t>
      </w:r>
      <w:r>
        <w:t xml:space="preserve"> </w:t>
      </w:r>
      <w:r>
        <w:t xml:space="preserve">for XLU. That raises the bar for a positive post-report reaction. The most valuable outcome is likely a combination of solid underlying EPS, maintained or improved 2026 confidence, progress on Houston interconnections, and a clean explanation of equity and credit needs.</w:t>
      </w:r>
    </w:p>
    <w:bookmarkEnd w:id="9"/>
    <w:bookmarkStart w:id="13" w:name="what-matters-most-this-quarter"/>
    <w:p>
      <w:pPr>
        <w:pStyle w:val="Heading2"/>
      </w:pPr>
      <w:r>
        <w:t xml:space="preserve">What matters most this quarter</w:t>
      </w:r>
    </w:p>
    <w:bookmarkStart w:id="10" w:name="X53f53a440062bf9290c06a7329768c1b3c5ebda"/>
    <w:p>
      <w:pPr>
        <w:pStyle w:val="Heading3"/>
      </w:pPr>
      <w:r>
        <w:t xml:space="preserve">1. 2026 guidance: maintain “at least midpoint” confidence—or better</w:t>
      </w:r>
    </w:p>
    <w:p>
      <w:pPr>
        <w:pStyle w:val="FirstParagraph"/>
      </w:pPr>
      <w:r>
        <w:t xml:space="preserve">CNP’s official 2026 non-GAAP EPS range is</w:t>
      </w:r>
      <w:r>
        <w:t xml:space="preserve"> </w:t>
      </w:r>
      <m:oMath>
        <m:r>
          <m:t>1.89</m:t>
        </m:r>
        <m:r>
          <m:rPr>
            <m:sty m:val="p"/>
          </m:rPr>
          <m:t>–</m:t>
        </m:r>
      </m:oMath>
      <w:r>
        <w:rPr>
          <w:b/>
          <w:bCs/>
        </w:rPr>
        <w:t xml:space="preserve">1.91</w:t>
      </w:r>
      <w:r>
        <w:t xml:space="preserve">, compared with 2025 delivered non-GAAP EPS of $1.76. After generating</w:t>
      </w:r>
      <w:r>
        <w:t xml:space="preserve"> </w:t>
      </w:r>
      <m:oMath>
        <m:r>
          <m:t>0.56</m:t>
        </m:r>
        <m:r>
          <m:t>i</m:t>
        </m:r>
        <m:r>
          <m:t>n</m:t>
        </m:r>
        <m:r>
          <m:t>1</m:t>
        </m:r>
        <m:r>
          <m:t>Q</m:t>
        </m:r>
        <m:r>
          <m:rPr>
            <m:sty m:val="p"/>
          </m:rPr>
          <m:t>,</m:t>
        </m:r>
        <m:r>
          <m:t>t</m:t>
        </m:r>
        <m:r>
          <m:t>h</m:t>
        </m:r>
        <m:r>
          <m:t>e</m:t>
        </m:r>
        <m:r>
          <m:t>c</m:t>
        </m:r>
        <m:r>
          <m:t>o</m:t>
        </m:r>
        <m:r>
          <m:t>m</m:t>
        </m:r>
        <m:r>
          <m:t>p</m:t>
        </m:r>
        <m:r>
          <m:t>a</m:t>
        </m:r>
        <m:r>
          <m:t>n</m:t>
        </m:r>
        <m:r>
          <m:t>y</m:t>
        </m:r>
        <m:r>
          <m:t>n</m:t>
        </m:r>
        <m:r>
          <m:t>e</m:t>
        </m:r>
        <m:r>
          <m:t>e</m:t>
        </m:r>
        <m:r>
          <m:t>d</m:t>
        </m:r>
        <m:r>
          <m:t>s</m:t>
        </m:r>
        <m:r>
          <m:t>a</m:t>
        </m:r>
        <m:r>
          <m:t>p</m:t>
        </m:r>
        <m:r>
          <m:t>p</m:t>
        </m:r>
        <m:r>
          <m:t>r</m:t>
        </m:r>
        <m:r>
          <m:t>o</m:t>
        </m:r>
        <m:r>
          <m:t>x</m:t>
        </m:r>
        <m:r>
          <m:t>i</m:t>
        </m:r>
        <m:r>
          <m:t>m</m:t>
        </m:r>
        <m:r>
          <m:t>a</m:t>
        </m:r>
        <m:r>
          <m:t>t</m:t>
        </m:r>
        <m:r>
          <m:t>e</m:t>
        </m:r>
        <m:r>
          <m:t>l</m:t>
        </m:r>
        <m:r>
          <m:t>y</m:t>
        </m:r>
        <m:r>
          <m:rPr>
            <m:sty m:val="p"/>
          </m:rPr>
          <m:t>*</m:t>
        </m:r>
        <m:r>
          <m:rPr>
            <m:sty m:val="p"/>
          </m:rPr>
          <m:t>*</m:t>
        </m:r>
      </m:oMath>
      <w:r>
        <w:t xml:space="preserve">1.34** across the remaining three quarters to reach the $1.90 midpoint.</w:t>
      </w:r>
    </w:p>
    <w:p>
      <w:pPr>
        <w:pStyle w:val="BodyText"/>
      </w:pPr>
      <w:r>
        <w:t xml:space="preserve">A simple reiteration should be acceptable, but investors will listen closely for whether management retains its language around delivering</w:t>
      </w:r>
      <w:r>
        <w:t xml:space="preserve"> </w:t>
      </w:r>
      <w:r>
        <w:rPr>
          <w:b/>
          <w:bCs/>
        </w:rPr>
        <w:t xml:space="preserve">at least</w:t>
      </w:r>
      <w:r>
        <w:t xml:space="preserve"> </w:t>
      </w:r>
      <w:r>
        <w:t xml:space="preserve">the midpoint, particularly given:</w:t>
      </w:r>
    </w:p>
    <w:p>
      <w:pPr>
        <w:pStyle w:val="Compact"/>
        <w:numPr>
          <w:ilvl w:val="0"/>
          <w:numId w:val="1001"/>
        </w:numPr>
      </w:pPr>
      <w:r>
        <w:t xml:space="preserve">stronger rate recovery entering 2Q;</w:t>
      </w:r>
    </w:p>
    <w:p>
      <w:pPr>
        <w:pStyle w:val="Compact"/>
        <w:numPr>
          <w:ilvl w:val="0"/>
          <w:numId w:val="1001"/>
        </w:numPr>
      </w:pPr>
      <w:r>
        <w:t xml:space="preserve">accelerating Houston load additions;</w:t>
      </w:r>
    </w:p>
    <w:p>
      <w:pPr>
        <w:pStyle w:val="Compact"/>
        <w:numPr>
          <w:ilvl w:val="0"/>
          <w:numId w:val="1001"/>
        </w:numPr>
      </w:pPr>
      <w:r>
        <w:t xml:space="preserve">expected cash-tax benefits;</w:t>
      </w:r>
    </w:p>
    <w:p>
      <w:pPr>
        <w:pStyle w:val="Compact"/>
        <w:numPr>
          <w:ilvl w:val="0"/>
          <w:numId w:val="1001"/>
        </w:numPr>
      </w:pPr>
      <w:r>
        <w:t xml:space="preserve">the increasingly derisked 2026 financing plan.</w:t>
      </w:r>
    </w:p>
    <w:p>
      <w:pPr>
        <w:pStyle w:val="FirstParagraph"/>
      </w:pPr>
      <w:r>
        <w:t xml:space="preserve">Conversely, a softer tone on the second half, financing, regulatory timing, or weather-normalized usage could pressure the shares even if the reported quarterly number is in line.</w:t>
      </w:r>
    </w:p>
    <w:bookmarkEnd w:id="10"/>
    <w:bookmarkStart w:id="11" w:name="X91fdfde8bf267419de78bfb5d502b18b970bc73"/>
    <w:p>
      <w:pPr>
        <w:pStyle w:val="Heading3"/>
      </w:pPr>
      <w:r>
        <w:t xml:space="preserve">2. Rate recovery should be the near-term earnings engine</w:t>
      </w:r>
    </w:p>
    <w:p>
      <w:pPr>
        <w:pStyle w:val="FirstParagraph"/>
      </w:pPr>
      <w:r>
        <w:t xml:space="preserve">The most important mechanical support to 2Q earnings should be the roll-in of recently approved or pending regulatory recovery mechanisms: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Filing / mechanism</w:t>
            </w:r>
          </w:p>
        </w:tc>
        <w:tc>
          <w:tcPr/>
          <w:p>
            <w:pPr>
              <w:pStyle w:val="Compact"/>
              <w:jc w:val="right"/>
            </w:pPr>
            <w:r>
              <w:t xml:space="preserve">Status entering 2Q26</w:t>
            </w:r>
          </w:p>
        </w:tc>
        <w:tc>
          <w:tcPr/>
          <w:p>
            <w:pPr>
              <w:pStyle w:val="Compact"/>
            </w:pPr>
            <w:r>
              <w:t xml:space="preserve">Investor relevance</w:t>
            </w:r>
          </w:p>
        </w:tc>
      </w:tr>
      <w:tr>
        <w:tc>
          <w:tcPr/>
          <w:p>
            <w:pPr>
              <w:pStyle w:val="Compact"/>
            </w:pPr>
            <w:r>
              <w:t xml:space="preserve">Houston Electric</w:t>
            </w:r>
            <w:r>
              <w:t xml:space="preserve"> </w:t>
            </w:r>
            <w:r>
              <w:rPr>
                <w:b/>
                <w:bCs/>
              </w:rPr>
              <w:t xml:space="preserve">DCRF</w:t>
            </w:r>
          </w:p>
        </w:tc>
        <w:tc>
          <w:tcPr/>
          <w:p>
            <w:pPr>
              <w:pStyle w:val="Compact"/>
              <w:jc w:val="right"/>
            </w:pPr>
            <w:r>
              <w:t xml:space="preserve">Originally sought a $108M revenue increase; April settlement reduced this by $6.2M, with new rates targeted for June</w:t>
            </w:r>
          </w:p>
        </w:tc>
        <w:tc>
          <w:tcPr/>
          <w:p>
            <w:pPr>
              <w:pStyle w:val="Compact"/>
            </w:pPr>
            <w:r>
              <w:t xml:space="preserve">Meaningful distribution-investment recovery; monitor final approval and effective date</w:t>
            </w:r>
          </w:p>
        </w:tc>
      </w:tr>
      <w:tr>
        <w:tc>
          <w:tcPr/>
          <w:p>
            <w:pPr>
              <w:pStyle w:val="Compact"/>
            </w:pPr>
            <w:r>
              <w:t xml:space="preserve">Houston Electric</w:t>
            </w:r>
            <w:r>
              <w:t xml:space="preserve"> </w:t>
            </w:r>
            <w:r>
              <w:rPr>
                <w:b/>
                <w:bCs/>
              </w:rPr>
              <w:t xml:space="preserve">TCOS</w:t>
            </w:r>
          </w:p>
        </w:tc>
        <w:tc>
          <w:tcPr/>
          <w:p>
            <w:pPr>
              <w:pStyle w:val="Compact"/>
              <w:jc w:val="right"/>
            </w:pPr>
            <w:r>
              <w:t xml:space="preserve">$36M annual revenue increase; approved and effective in April</w:t>
            </w:r>
          </w:p>
        </w:tc>
        <w:tc>
          <w:tcPr/>
          <w:p>
            <w:pPr>
              <w:pStyle w:val="Compact"/>
            </w:pPr>
            <w:r>
              <w:t xml:space="preserve">Full-quarter benefit in 2Q</w:t>
            </w:r>
          </w:p>
        </w:tc>
      </w:tr>
      <w:tr>
        <w:tc>
          <w:tcPr/>
          <w:p>
            <w:pPr>
              <w:pStyle w:val="Compact"/>
            </w:pPr>
            <w:r>
              <w:t xml:space="preserve">Texas Gas</w:t>
            </w:r>
            <w:r>
              <w:t xml:space="preserve"> </w:t>
            </w:r>
            <w:r>
              <w:rPr>
                <w:b/>
                <w:bCs/>
              </w:rPr>
              <w:t xml:space="preserve">GRIP</w:t>
            </w:r>
          </w:p>
        </w:tc>
        <w:tc>
          <w:tcPr/>
          <w:p>
            <w:pPr>
              <w:pStyle w:val="Compact"/>
              <w:jc w:val="right"/>
            </w:pPr>
            <w:r>
              <w:t xml:space="preserve">$62M annual revenue request; rates expected in June, pending approval</w:t>
            </w:r>
          </w:p>
        </w:tc>
        <w:tc>
          <w:tcPr/>
          <w:p>
            <w:pPr>
              <w:pStyle w:val="Compact"/>
            </w:pPr>
            <w:r>
              <w:t xml:space="preserve">Partial-quarter contribution and an important regulatory execution marker</w:t>
            </w:r>
          </w:p>
        </w:tc>
      </w:tr>
      <w:tr>
        <w:tc>
          <w:tcPr/>
          <w:p>
            <w:pPr>
              <w:pStyle w:val="Compact"/>
            </w:pPr>
            <w:r>
              <w:t xml:space="preserve">Indiana / Minnesota gas cases</w:t>
            </w:r>
          </w:p>
        </w:tc>
        <w:tc>
          <w:tcPr/>
          <w:p>
            <w:pPr>
              <w:pStyle w:val="Compact"/>
              <w:jc w:val="right"/>
            </w:pPr>
            <w:r>
              <w:t xml:space="preserve">Filings expected in 4Q26</w:t>
            </w:r>
          </w:p>
        </w:tc>
        <w:tc>
          <w:tcPr/>
          <w:p>
            <w:pPr>
              <w:pStyle w:val="Compact"/>
            </w:pPr>
            <w:r>
              <w:t xml:space="preserve">Not a 2Q earnings driver, but relevant to the medium-term regulatory calendar</w:t>
            </w:r>
          </w:p>
        </w:tc>
      </w:tr>
    </w:tbl>
    <w:p>
      <w:pPr>
        <w:pStyle w:val="BodyText"/>
      </w:pPr>
      <w:r>
        <w:t xml:space="preserve">CNP has emphasized that it recovers roughly</w:t>
      </w:r>
      <w:r>
        <w:t xml:space="preserve"> </w:t>
      </w:r>
      <w:r>
        <w:rPr>
          <w:b/>
          <w:bCs/>
        </w:rPr>
        <w:t xml:space="preserve">85% of investments through capital trackers</w:t>
      </w:r>
      <w:r>
        <w:t xml:space="preserve">, a central support for its ability to deploy capital while limiting regulatory lag. citeturn0fetch1turn0fetch2</w:t>
      </w:r>
    </w:p>
    <w:p>
      <w:pPr>
        <w:pStyle w:val="BodyText"/>
      </w:pPr>
      <w:r>
        <w:t xml:space="preserve">The primary watch item is whether the Houston resiliency-related DCRF deferrals create any broader concern about the timing or completeness of recovery. The April settlement deferred $52.3 million of certain resiliency investments and establishes proportional deferrals in future DCRF filings through 2028. citeturn0fetch2</w:t>
      </w:r>
    </w:p>
    <w:bookmarkEnd w:id="11"/>
    <w:bookmarkStart w:id="12" w:name="Xa3138e42d9ac5eb3ce56a6c2e9abab833e09aa5"/>
    <w:p>
      <w:pPr>
        <w:pStyle w:val="Heading3"/>
      </w:pPr>
      <w:r>
        <w:t xml:space="preserve">3. Houston load growth is the valuation driver—look for evidence, not just a larger headline number</w:t>
      </w:r>
    </w:p>
    <w:p>
      <w:pPr>
        <w:pStyle w:val="FirstParagraph"/>
      </w:pPr>
      <w:r>
        <w:t xml:space="preserve">At 1Q earnings, management raised its firmly committed Houston industrial-load figure to</w:t>
      </w:r>
      <w:r>
        <w:t xml:space="preserve"> </w:t>
      </w:r>
      <w:r>
        <w:rPr>
          <w:b/>
          <w:bCs/>
        </w:rPr>
        <w:t xml:space="preserve">12.2 GW</w:t>
      </w:r>
      <w:r>
        <w:t xml:space="preserve">, including expected energization of</w:t>
      </w:r>
      <w:r>
        <w:t xml:space="preserve"> </w:t>
      </w:r>
      <w:r>
        <w:rPr>
          <w:b/>
          <w:bCs/>
        </w:rPr>
        <w:t xml:space="preserve">8 GW of data-center load by 2029</w:t>
      </w:r>
      <w:r>
        <w:t xml:space="preserve"> </w:t>
      </w:r>
      <w:r>
        <w:t xml:space="preserve">and</w:t>
      </w:r>
      <w:r>
        <w:t xml:space="preserve"> </w:t>
      </w:r>
      <w:r>
        <w:rPr>
          <w:b/>
          <w:bCs/>
        </w:rPr>
        <w:t xml:space="preserve">3.5 GW already under construction</w:t>
      </w:r>
      <w:r>
        <w:t xml:space="preserve">. CNP characterized the pipeline as diversified across more than a dozen customers and nearly 20 projects. citeturn0fetch0turn0fetch1</w:t>
      </w:r>
    </w:p>
    <w:p>
      <w:pPr>
        <w:pStyle w:val="BodyText"/>
      </w:pPr>
      <w:r>
        <w:t xml:space="preserve">The crucial nuance is that these connections do</w:t>
      </w:r>
      <w:r>
        <w:t xml:space="preserve"> </w:t>
      </w:r>
      <w:r>
        <w:rPr>
          <w:b/>
          <w:bCs/>
        </w:rPr>
        <w:t xml:space="preserve">not</w:t>
      </w:r>
      <w:r>
        <w:t xml:space="preserve"> </w:t>
      </w:r>
      <w:r>
        <w:t xml:space="preserve">necessarily translate directly into immediate utility capex: customers fund many dedicated interconnection modifications. The near-term financial benefit is instead incremental demand-charge revenue—management quantified this at roughly</w:t>
      </w:r>
      <w:r>
        <w:t xml:space="preserve"> </w:t>
      </w:r>
      <w:r>
        <w:rPr>
          <w:b/>
          <w:bCs/>
        </w:rPr>
        <w:t xml:space="preserve">$6 million per month for each incremental GW</w:t>
      </w:r>
      <w:r>
        <w:t xml:space="preserve"> </w:t>
      </w:r>
      <w:r>
        <w:t xml:space="preserve">of industrial load—plus the longer-term transmission investment required once existing capacity is exhausted. citeturn0fetch1</w:t>
      </w:r>
    </w:p>
    <w:p>
      <w:pPr>
        <w:pStyle w:val="BodyText"/>
      </w:pPr>
      <w:r>
        <w:t xml:space="preserve">For the call, investors should focus on four proof points:</w:t>
      </w:r>
    </w:p>
    <w:p>
      <w:pPr>
        <w:pStyle w:val="Compact"/>
        <w:numPr>
          <w:ilvl w:val="0"/>
          <w:numId w:val="1002"/>
        </w:numPr>
      </w:pPr>
      <w:r>
        <w:rPr>
          <w:b/>
          <w:bCs/>
        </w:rPr>
        <w:t xml:space="preserve">ERCOT approvals and batch-study status.</w:t>
      </w:r>
      <w:r>
        <w:t xml:space="preserve"> </w:t>
      </w:r>
      <w:r>
        <w:t xml:space="preserve">In April, 3.2 GW had ERCOT approval and CNP expected to submit the remaining approximately 9 GW shortly thereafter. Confirmation of filing and continued timely approvals would materially improve confidence in the 12.2-GW pipeline.</w:t>
      </w:r>
    </w:p>
    <w:p>
      <w:pPr>
        <w:pStyle w:val="Compact"/>
        <w:numPr>
          <w:ilvl w:val="0"/>
          <w:numId w:val="1002"/>
        </w:numPr>
      </w:pPr>
      <w:r>
        <w:rPr>
          <w:b/>
          <w:bCs/>
        </w:rPr>
        <w:t xml:space="preserve">Energization dates.</w:t>
      </w:r>
      <w:r>
        <w:t xml:space="preserve"> </w:t>
      </w:r>
      <w:r>
        <w:t xml:space="preserve">Any movement from broad targets to project-level timing would improve earnings visibility.</w:t>
      </w:r>
    </w:p>
    <w:p>
      <w:pPr>
        <w:pStyle w:val="Compact"/>
        <w:numPr>
          <w:ilvl w:val="0"/>
          <w:numId w:val="1002"/>
        </w:numPr>
      </w:pPr>
      <w:r>
        <w:rPr>
          <w:b/>
          <w:bCs/>
        </w:rPr>
        <w:t xml:space="preserve">Transmission-plan refresh.</w:t>
      </w:r>
      <w:r>
        <w:t xml:space="preserve"> </w:t>
      </w:r>
      <w:r>
        <w:t xml:space="preserve">Management previously targeted a second-half 2026 update identifying the system investments needed to bridge the period before planned 765-kV infrastructure comes online in 2031–2032.</w:t>
      </w:r>
    </w:p>
    <w:p>
      <w:pPr>
        <w:pStyle w:val="Compact"/>
        <w:numPr>
          <w:ilvl w:val="0"/>
          <w:numId w:val="1002"/>
        </w:numPr>
      </w:pPr>
      <w:r>
        <w:rPr>
          <w:b/>
          <w:bCs/>
        </w:rPr>
        <w:t xml:space="preserve">Customer economics and affordability.</w:t>
      </w:r>
      <w:r>
        <w:t xml:space="preserve"> </w:t>
      </w:r>
      <w:r>
        <w:t xml:space="preserve">CNP estimates that using 10 GW of existing capacity could generate approximately</w:t>
      </w:r>
      <w:r>
        <w:t xml:space="preserve"> </w:t>
      </w:r>
      <w:r>
        <w:rPr>
          <w:b/>
          <w:bCs/>
        </w:rPr>
        <w:t xml:space="preserve">$4 billion of aggregate savings</w:t>
      </w:r>
      <w:r>
        <w:t xml:space="preserve"> </w:t>
      </w:r>
      <w:r>
        <w:t xml:space="preserve">for Houston-area residential and commercial customers over 10 years. The company must keep demonstrating that new large load lowers—not raises—costs for existing customers. citeturn0fetch1</w:t>
      </w:r>
    </w:p>
    <w:bookmarkEnd w:id="12"/>
    <w:bookmarkEnd w:id="13"/>
    <w:bookmarkStart w:id="14" w:name="X261d488e131e60affedfcff991760ded20f71df"/>
    <w:p>
      <w:pPr>
        <w:pStyle w:val="Heading2"/>
      </w:pPr>
      <w:r>
        <w:t xml:space="preserve">Capital deployment and incremental capex: upside, but execution risk rises</w:t>
      </w:r>
    </w:p>
    <w:p>
      <w:pPr>
        <w:pStyle w:val="FirstParagraph"/>
      </w:pPr>
      <w:r>
        <w:t xml:space="preserve">CNP is targeting</w:t>
      </w:r>
      <w:r>
        <w:t xml:space="preserve"> </w:t>
      </w:r>
      <w:r>
        <w:rPr>
          <w:b/>
          <w:bCs/>
        </w:rPr>
        <w:t xml:space="preserve">$6.8 billion</w:t>
      </w:r>
      <w:r>
        <w:t xml:space="preserve"> </w:t>
      </w:r>
      <w:r>
        <w:t xml:space="preserve">of 2026 capital investment and spent</w:t>
      </w:r>
      <w:r>
        <w:t xml:space="preserve"> </w:t>
      </w:r>
      <m:oMath>
        <m:r>
          <m:t>1.2</m:t>
        </m:r>
        <m:r>
          <m:t>b</m:t>
        </m:r>
        <m:r>
          <m:t>i</m:t>
        </m:r>
        <m:r>
          <m:t>l</m:t>
        </m:r>
        <m:r>
          <m:t>l</m:t>
        </m:r>
        <m:r>
          <m:t>i</m:t>
        </m:r>
        <m:r>
          <m:t>o</m:t>
        </m:r>
        <m:r>
          <m:t>n</m:t>
        </m:r>
        <m:r>
          <m:t>i</m:t>
        </m:r>
        <m:r>
          <m:t>n</m:t>
        </m:r>
        <m:r>
          <m:t>1</m:t>
        </m:r>
        <m:r>
          <m:t>Q</m:t>
        </m:r>
        <m:r>
          <m:rPr>
            <m:sty m:val="p"/>
          </m:rPr>
          <m:t>,</m:t>
        </m:r>
        <m:r>
          <m:t>i</m:t>
        </m:r>
        <m:r>
          <m:t>m</m:t>
        </m:r>
        <m:r>
          <m:t>p</m:t>
        </m:r>
        <m:r>
          <m:t>l</m:t>
        </m:r>
        <m:r>
          <m:t>y</m:t>
        </m:r>
        <m:r>
          <m:t>i</m:t>
        </m:r>
        <m:r>
          <m:t>n</m:t>
        </m:r>
        <m:r>
          <m:t>g</m:t>
        </m:r>
        <m:r>
          <m:t>a</m:t>
        </m:r>
        <m:r>
          <m:t>s</m:t>
        </m:r>
        <m:r>
          <m:t>u</m:t>
        </m:r>
        <m:r>
          <m:t>b</m:t>
        </m:r>
        <m:r>
          <m:t>s</m:t>
        </m:r>
        <m:r>
          <m:t>t</m:t>
        </m:r>
        <m:r>
          <m:t>a</m:t>
        </m:r>
        <m:r>
          <m:t>n</m:t>
        </m:r>
        <m:r>
          <m:t>t</m:t>
        </m:r>
        <m:r>
          <m:t>i</m:t>
        </m:r>
        <m:r>
          <m:t>a</m:t>
        </m:r>
        <m:r>
          <m:t>l</m:t>
        </m:r>
        <m:r>
          <m:t>c</m:t>
        </m:r>
        <m:r>
          <m:t>o</m:t>
        </m:r>
        <m:r>
          <m:t>n</m:t>
        </m:r>
        <m:r>
          <m:t>s</m:t>
        </m:r>
        <m:r>
          <m:t>t</m:t>
        </m:r>
        <m:r>
          <m:t>r</m:t>
        </m:r>
        <m:r>
          <m:t>u</m:t>
        </m:r>
        <m:r>
          <m:t>c</m:t>
        </m:r>
        <m:r>
          <m:t>t</m:t>
        </m:r>
        <m:r>
          <m:t>i</m:t>
        </m:r>
        <m:r>
          <m:t>o</m:t>
        </m:r>
        <m:r>
          <m:t>n</m:t>
        </m:r>
        <m:r>
          <m:t>a</m:t>
        </m:r>
        <m:r>
          <m:t>n</m:t>
        </m:r>
        <m:r>
          <m:t>d</m:t>
        </m:r>
        <m:r>
          <m:t>s</m:t>
        </m:r>
        <m:r>
          <m:t>p</m:t>
        </m:r>
        <m:r>
          <m:t>e</m:t>
        </m:r>
        <m:r>
          <m:t>n</m:t>
        </m:r>
        <m:r>
          <m:t>d</m:t>
        </m:r>
        <m:r>
          <m:t>i</m:t>
        </m:r>
        <m:r>
          <m:t>n</m:t>
        </m:r>
        <m:r>
          <m:t>g</m:t>
        </m:r>
        <m:r>
          <m:t>r</m:t>
        </m:r>
        <m:r>
          <m:t>a</m:t>
        </m:r>
        <m:r>
          <m:t>m</m:t>
        </m:r>
        <m:r>
          <m:t>p</m:t>
        </m:r>
        <m:r>
          <m:t>t</m:t>
        </m:r>
        <m:r>
          <m:t>h</m:t>
        </m:r>
        <m:r>
          <m:t>r</m:t>
        </m:r>
        <m:r>
          <m:t>o</m:t>
        </m:r>
        <m:r>
          <m:t>u</m:t>
        </m:r>
        <m:r>
          <m:t>g</m:t>
        </m:r>
        <m:r>
          <m:t>h</m:t>
        </m:r>
        <m:r>
          <m:t>t</m:t>
        </m:r>
        <m:r>
          <m:t>h</m:t>
        </m:r>
        <m:r>
          <m:t>e</m:t>
        </m:r>
        <m:r>
          <m:t>b</m:t>
        </m:r>
        <m:r>
          <m:t>a</m:t>
        </m:r>
        <m:r>
          <m:t>l</m:t>
        </m:r>
        <m:r>
          <m:t>a</m:t>
        </m:r>
        <m:r>
          <m:t>n</m:t>
        </m:r>
        <m:r>
          <m:t>c</m:t>
        </m:r>
        <m:r>
          <m:t>e</m:t>
        </m:r>
        <m:r>
          <m:t>o</m:t>
        </m:r>
        <m:r>
          <m:t>f</m:t>
        </m:r>
        <m:r>
          <m:t>t</m:t>
        </m:r>
        <m:r>
          <m:t>h</m:t>
        </m:r>
        <m:r>
          <m:t>e</m:t>
        </m:r>
        <m:r>
          <m:t>y</m:t>
        </m:r>
        <m:r>
          <m:t>e</m:t>
        </m:r>
        <m:r>
          <m:t>a</m:t>
        </m:r>
        <m:r>
          <m:t>r</m:t>
        </m:r>
        <m:r>
          <m:rPr>
            <m:sty m:val="p"/>
          </m:rPr>
          <m:t>.</m:t>
        </m:r>
        <m:r>
          <m:t>I</m:t>
        </m:r>
        <m:r>
          <m:t>t</m:t>
        </m:r>
        <m:r>
          <m:t>s</m:t>
        </m:r>
        <m:r>
          <m:t>b</m:t>
        </m:r>
        <m:r>
          <m:t>a</m:t>
        </m:r>
        <m:r>
          <m:t>s</m:t>
        </m:r>
        <m:r>
          <m:t>e</m:t>
        </m:r>
        <m:r>
          <m:t>10</m:t>
        </m:r>
        <m:r>
          <m:rPr>
            <m:sty m:val="p"/>
          </m:rPr>
          <m:t>−</m:t>
        </m:r>
        <m:r>
          <m:t>y</m:t>
        </m:r>
        <m:r>
          <m:t>e</m:t>
        </m:r>
        <m:r>
          <m:t>a</m:t>
        </m:r>
        <m:r>
          <m:t>r</m:t>
        </m:r>
        <m:r>
          <m:t>c</m:t>
        </m:r>
        <m:r>
          <m:t>a</m:t>
        </m:r>
        <m:r>
          <m:t>p</m:t>
        </m:r>
        <m:r>
          <m:t>i</m:t>
        </m:r>
        <m:r>
          <m:t>t</m:t>
        </m:r>
        <m:r>
          <m:t>a</m:t>
        </m:r>
        <m:r>
          <m:t>l</m:t>
        </m:r>
        <m:r>
          <m:t>p</m:t>
        </m:r>
        <m:r>
          <m:t>l</m:t>
        </m:r>
        <m:r>
          <m:t>a</m:t>
        </m:r>
        <m:r>
          <m:t>n</m:t>
        </m:r>
        <m:r>
          <m:t>i</m:t>
        </m:r>
        <m:r>
          <m:t>s</m:t>
        </m:r>
        <m:r>
          <m:rPr>
            <m:sty m:val="p"/>
          </m:rPr>
          <m:t>*</m:t>
        </m:r>
        <m:r>
          <m:rPr>
            <m:sty m:val="p"/>
          </m:rPr>
          <m:t>*</m:t>
        </m:r>
      </m:oMath>
      <w:r>
        <w:t xml:space="preserve">65.5 billion through 2035**, with management also citing more than</w:t>
      </w:r>
      <w:r>
        <w:t xml:space="preserve"> </w:t>
      </w:r>
      <w:r>
        <w:rPr>
          <w:b/>
          <w:bCs/>
        </w:rPr>
        <w:t xml:space="preserve">$10 billion</w:t>
      </w:r>
      <w:r>
        <w:t xml:space="preserve"> </w:t>
      </w:r>
      <w:r>
        <w:t xml:space="preserve">of incremental opportunities as Houston and Indiana load requirements become clearer. citeturn0fetch1turn0fetch2</w:t>
      </w:r>
    </w:p>
    <w:p>
      <w:pPr>
        <w:pStyle w:val="BodyText"/>
      </w:pPr>
      <w:r>
        <w:t xml:space="preserve">This creates an attractive reinvestment runway, but investors should distinguish between:</w:t>
      </w:r>
    </w:p>
    <w:p>
      <w:pPr>
        <w:pStyle w:val="Compact"/>
        <w:numPr>
          <w:ilvl w:val="0"/>
          <w:numId w:val="1003"/>
        </w:numPr>
      </w:pPr>
      <w:r>
        <w:rPr>
          <w:b/>
          <w:bCs/>
        </w:rPr>
        <w:t xml:space="preserve">base-plan execution</w:t>
      </w:r>
      <w:r>
        <w:t xml:space="preserve"> </w:t>
      </w:r>
      <w:r>
        <w:t xml:space="preserve">that supports current 7%–9% long-term EPS-growth targets;</w:t>
      </w:r>
    </w:p>
    <w:p>
      <w:pPr>
        <w:pStyle w:val="Compact"/>
        <w:numPr>
          <w:ilvl w:val="0"/>
          <w:numId w:val="1003"/>
        </w:numPr>
      </w:pPr>
      <w:r>
        <w:rPr>
          <w:b/>
          <w:bCs/>
        </w:rPr>
        <w:t xml:space="preserve">credible, approved incremental investments</w:t>
      </w:r>
      <w:r>
        <w:t xml:space="preserve"> </w:t>
      </w:r>
      <w:r>
        <w:t xml:space="preserve">that can extend that runway; and</w:t>
      </w:r>
    </w:p>
    <w:p>
      <w:pPr>
        <w:pStyle w:val="Compact"/>
        <w:numPr>
          <w:ilvl w:val="0"/>
          <w:numId w:val="1003"/>
        </w:numPr>
      </w:pPr>
      <w:r>
        <w:rPr>
          <w:b/>
          <w:bCs/>
        </w:rPr>
        <w:t xml:space="preserve">aspirational pipeline opportunities</w:t>
      </w:r>
      <w:r>
        <w:t xml:space="preserve"> </w:t>
      </w:r>
      <w:r>
        <w:t xml:space="preserve">that may require additional funding or regulatory approvals.</w:t>
      </w:r>
    </w:p>
    <w:p>
      <w:pPr>
        <w:pStyle w:val="FirstParagraph"/>
      </w:pPr>
      <w:r>
        <w:t xml:space="preserve">Indiana is the secondary upside lever. CNP has described a potential large-load opportunity that could unlock roughly</w:t>
      </w:r>
      <w:r>
        <w:t xml:space="preserve"> </w:t>
      </w:r>
      <w:r>
        <w:rPr>
          <w:b/>
          <w:bCs/>
        </w:rPr>
        <w:t xml:space="preserve">$1 billion of capex during 2027–2029</w:t>
      </w:r>
      <w:r>
        <w:t xml:space="preserve">, including transmission work and potentially conversion of a simple-cycle plant to combined-cycle capability. citeturn0fetch1</w:t>
      </w:r>
    </w:p>
    <w:bookmarkEnd w:id="14"/>
    <w:bookmarkStart w:id="15" w:name="Xe43d5a12cc2131cb0054cd345322dd1e1bb8ab3"/>
    <w:p>
      <w:pPr>
        <w:pStyle w:val="Heading2"/>
      </w:pPr>
      <w:r>
        <w:t xml:space="preserve">Funding, credit, and dilution are the principal counterweights</w:t>
      </w:r>
    </w:p>
    <w:p>
      <w:pPr>
        <w:pStyle w:val="FirstParagraph"/>
      </w:pPr>
      <w:r>
        <w:t xml:space="preserve">The financing story will be especially important after CNP established a new</w:t>
      </w:r>
      <w:r>
        <w:t xml:space="preserve"> </w:t>
      </w:r>
      <w:r>
        <w:rPr>
          <w:b/>
          <w:bCs/>
        </w:rPr>
        <w:t xml:space="preserve">$1 billion at-the-market equity program</w:t>
      </w:r>
      <w:r>
        <w:t xml:space="preserve"> </w:t>
      </w:r>
      <w:r>
        <w:t xml:space="preserve">on May 15. The program does not require issuance, but it gives the company clear flexibility to issue shares or enter forward-sale agreements through May 2029. That flexibility is strategically sensible for a growing utility, but it also creates a continuing dilution overhang. citeturn0fetch3</w:t>
      </w:r>
    </w:p>
    <w:p>
      <w:pPr>
        <w:pStyle w:val="BodyText"/>
      </w:pPr>
      <w:r>
        <w:t xml:space="preserve">Management’s 1Q message was that funding had been substantially derisked:</w:t>
      </w:r>
    </w:p>
    <w:p>
      <w:pPr>
        <w:pStyle w:val="Compact"/>
        <w:numPr>
          <w:ilvl w:val="0"/>
          <w:numId w:val="1004"/>
        </w:numPr>
      </w:pPr>
      <w:r>
        <w:t xml:space="preserve">approximately</w:t>
      </w:r>
      <w:r>
        <w:t xml:space="preserve"> </w:t>
      </w:r>
      <w:r>
        <w:rPr>
          <w:b/>
          <w:bCs/>
        </w:rPr>
        <w:t xml:space="preserve">70% of 2026 financing needs</w:t>
      </w:r>
      <w:r>
        <w:t xml:space="preserve"> </w:t>
      </w:r>
      <w:r>
        <w:t xml:space="preserve">had been completed;</w:t>
      </w:r>
    </w:p>
    <w:p>
      <w:pPr>
        <w:pStyle w:val="Compact"/>
        <w:numPr>
          <w:ilvl w:val="0"/>
          <w:numId w:val="1004"/>
        </w:numPr>
      </w:pPr>
      <w:r>
        <w:t xml:space="preserve">a $650 million convertible issuance lowered near-term floating-rate exposure;</w:t>
      </w:r>
    </w:p>
    <w:p>
      <w:pPr>
        <w:pStyle w:val="Compact"/>
        <w:numPr>
          <w:ilvl w:val="0"/>
          <w:numId w:val="1004"/>
        </w:numPr>
      </w:pPr>
      <w:r>
        <w:t xml:space="preserve">parent commercial paper was zero at quarter-end;</w:t>
      </w:r>
    </w:p>
    <w:p>
      <w:pPr>
        <w:pStyle w:val="Compact"/>
        <w:numPr>
          <w:ilvl w:val="0"/>
          <w:numId w:val="1004"/>
        </w:numPr>
      </w:pPr>
      <w:r>
        <w:t xml:space="preserve">adjusted Moody’s FFO-to-debt was</w:t>
      </w:r>
      <w:r>
        <w:t xml:space="preserve"> </w:t>
      </w:r>
      <w:r>
        <w:rPr>
          <w:b/>
          <w:bCs/>
        </w:rPr>
        <w:t xml:space="preserve">12.5%</w:t>
      </w:r>
      <w:r>
        <w:t xml:space="preserve">, with management attributing the level to timing from debt pulled forward and expecting to finish 2026 at the high end of its targeted rating-agency cushion. citeturn0fetch1</w:t>
      </w:r>
    </w:p>
    <w:p>
      <w:pPr>
        <w:pStyle w:val="FirstParagraph"/>
      </w:pPr>
      <w:r>
        <w:t xml:space="preserve">The 2Q call should clarify whether cash-tax refunds and updated corporate alternative-minimum-tax treatment continue to offset equity needs. Management previously said the tax benefit could support the equivalent of approximately</w:t>
      </w:r>
      <w:r>
        <w:t xml:space="preserve"> </w:t>
      </w:r>
      <w:r>
        <w:rPr>
          <w:b/>
          <w:bCs/>
        </w:rPr>
        <w:t xml:space="preserve">$1 billion of additional capex without incremental equity</w:t>
      </w:r>
      <w:r>
        <w:t xml:space="preserve">. citeturn0fetch1</w:t>
      </w:r>
    </w:p>
    <w:p>
      <w:pPr>
        <w:pStyle w:val="BodyText"/>
      </w:pPr>
      <w:r>
        <w:rPr>
          <w:b/>
          <w:bCs/>
        </w:rPr>
        <w:t xml:space="preserve">What would be reassuring:</w:t>
      </w:r>
      <w:r>
        <w:t xml:space="preserve"> </w:t>
      </w:r>
      <w:r>
        <w:t xml:space="preserve">a reaffirmed equity plan, improving FFO-to-debt trajectory, confirmation that the Ohio gas-LDC sale remains on track for 4Q26, and no sign that the ATM must be used imminently.</w:t>
      </w:r>
    </w:p>
    <w:p>
      <w:pPr>
        <w:pStyle w:val="BodyText"/>
      </w:pPr>
      <w:r>
        <w:rPr>
          <w:b/>
          <w:bCs/>
        </w:rPr>
        <w:t xml:space="preserve">What would concern investors:</w:t>
      </w:r>
      <w:r>
        <w:t xml:space="preserve"> </w:t>
      </w:r>
      <w:r>
        <w:t xml:space="preserve">a larger equity requirement, further credit-metric slippage, a delayed Ohio closing, or a more cautious outlook for external financing costs.</w:t>
      </w:r>
    </w:p>
    <w:bookmarkEnd w:id="15"/>
    <w:bookmarkStart w:id="16" w:name="Xb014fbc5100f3cd6d52399e2ade0c331dc36269"/>
    <w:p>
      <w:pPr>
        <w:pStyle w:val="Heading2"/>
      </w:pPr>
      <w:r>
        <w:t xml:space="preserve">Earnings sensitivity: weather, usage, and legacy items</w:t>
      </w:r>
    </w:p>
    <w:p>
      <w:pPr>
        <w:pStyle w:val="FirstParagraph"/>
      </w:pPr>
      <w:r>
        <w:t xml:space="preserve">Second-quarter comparisons should benefit from a relatively low prior-year base: CNP reported</w:t>
      </w:r>
      <w:r>
        <w:t xml:space="preserve"> </w:t>
      </w:r>
      <w:r>
        <w:rPr>
          <w:b/>
          <w:bCs/>
        </w:rPr>
        <w:t xml:space="preserve">$0.29 of non-GAAP EPS in 2Q25</w:t>
      </w:r>
      <w:r>
        <w:t xml:space="preserve">, when higher financing costs and O&amp;M burdened results. citeturn0fetch4</w:t>
      </w:r>
    </w:p>
    <w:p>
      <w:pPr>
        <w:pStyle w:val="BodyText"/>
      </w:pPr>
      <w:r>
        <w:t xml:space="preserve">However, weather and usage remain meaningful variables. In 1Q26, milder weather in Texas and Indiana reduced non-GAAP EPS by $0.02 year over year. CNP’s gas business is naturally more seasonal and faces an additional structural headwind from the divestiture of Louisiana and Mississippi gas operations; management has said accelerated Texas investment replaces the divested rate base over time. citeturn0fetch0turn0fetch1</w:t>
      </w:r>
    </w:p>
    <w:p>
      <w:pPr>
        <w:pStyle w:val="BodyText"/>
      </w:pPr>
      <w:r>
        <w:t xml:space="preserve">Investors should also separate recurring operating performance from items excluded from non-GAAP EPS, notably:</w:t>
      </w:r>
    </w:p>
    <w:p>
      <w:pPr>
        <w:pStyle w:val="Compact"/>
        <w:numPr>
          <w:ilvl w:val="0"/>
          <w:numId w:val="1005"/>
        </w:numPr>
      </w:pPr>
      <w:r>
        <w:t xml:space="preserve">ZENS-related mark-to-market movements;</w:t>
      </w:r>
    </w:p>
    <w:p>
      <w:pPr>
        <w:pStyle w:val="Compact"/>
        <w:numPr>
          <w:ilvl w:val="0"/>
          <w:numId w:val="1005"/>
        </w:numPr>
      </w:pPr>
      <w:r>
        <w:t xml:space="preserve">effects related to the Ohio gas sale and earlier divestitures;</w:t>
      </w:r>
    </w:p>
    <w:p>
      <w:pPr>
        <w:pStyle w:val="Compact"/>
        <w:numPr>
          <w:ilvl w:val="0"/>
          <w:numId w:val="1005"/>
        </w:numPr>
      </w:pPr>
      <w:r>
        <w:t xml:space="preserve">TEEEF-related costs following removal of temporary generation units from regulated rate base.</w:t>
      </w:r>
    </w:p>
    <w:bookmarkEnd w:id="16"/>
    <w:bookmarkStart w:id="17" w:name="key-questions-for-management"/>
    <w:p>
      <w:pPr>
        <w:pStyle w:val="Heading2"/>
      </w:pPr>
      <w:r>
        <w:t xml:space="preserve">Key questions for management</w:t>
      </w:r>
    </w:p>
    <w:p>
      <w:pPr>
        <w:pStyle w:val="Compact"/>
        <w:numPr>
          <w:ilvl w:val="0"/>
          <w:numId w:val="1006"/>
        </w:numPr>
      </w:pPr>
      <w:r>
        <w:rPr>
          <w:b/>
          <w:bCs/>
        </w:rPr>
        <w:t xml:space="preserve">How much of the 12.2-GW Houston committed-load pipeline has received ERCOT approval, and how much has advanced through the latest batch-study process?</w:t>
      </w:r>
    </w:p>
    <w:p>
      <w:pPr>
        <w:pStyle w:val="Compact"/>
        <w:numPr>
          <w:ilvl w:val="0"/>
          <w:numId w:val="1006"/>
        </w:numPr>
      </w:pPr>
      <w:r>
        <w:rPr>
          <w:b/>
          <w:bCs/>
        </w:rPr>
        <w:t xml:space="preserve">Has the timeline to energize 8 GW by 2029 changed?</w:t>
      </w:r>
    </w:p>
    <w:p>
      <w:pPr>
        <w:pStyle w:val="Compact"/>
        <w:numPr>
          <w:ilvl w:val="0"/>
          <w:numId w:val="1006"/>
        </w:numPr>
      </w:pPr>
      <w:r>
        <w:rPr>
          <w:b/>
          <w:bCs/>
        </w:rPr>
        <w:t xml:space="preserve">What specific incremental transmission projects and capital requirements will be included in the expected second-half load-study update?</w:t>
      </w:r>
    </w:p>
    <w:p>
      <w:pPr>
        <w:pStyle w:val="Compact"/>
        <w:numPr>
          <w:ilvl w:val="0"/>
          <w:numId w:val="1006"/>
        </w:numPr>
      </w:pPr>
      <w:r>
        <w:rPr>
          <w:b/>
          <w:bCs/>
        </w:rPr>
        <w:t xml:space="preserve">Are the DCRF, TCOS, and GRIP recoveries landing on the expected schedule and at expected amounts?</w:t>
      </w:r>
    </w:p>
    <w:p>
      <w:pPr>
        <w:pStyle w:val="Compact"/>
        <w:numPr>
          <w:ilvl w:val="0"/>
          <w:numId w:val="1006"/>
        </w:numPr>
      </w:pPr>
      <w:r>
        <w:rPr>
          <w:b/>
          <w:bCs/>
        </w:rPr>
        <w:t xml:space="preserve">Is CNP still on track for $6.8 billion of 2026 capex, and what is the expected second-half spending cadence?</w:t>
      </w:r>
    </w:p>
    <w:p>
      <w:pPr>
        <w:pStyle w:val="Compact"/>
        <w:numPr>
          <w:ilvl w:val="0"/>
          <w:numId w:val="1006"/>
        </w:numPr>
      </w:pPr>
      <w:r>
        <w:rPr>
          <w:b/>
          <w:bCs/>
        </w:rPr>
        <w:t xml:space="preserve">Has the anticipated Ohio gas-LDC sale closing remained on track for 4Q26?</w:t>
      </w:r>
    </w:p>
    <w:p>
      <w:pPr>
        <w:pStyle w:val="Compact"/>
        <w:numPr>
          <w:ilvl w:val="0"/>
          <w:numId w:val="1006"/>
        </w:numPr>
      </w:pPr>
      <w:r>
        <w:rPr>
          <w:b/>
          <w:bCs/>
        </w:rPr>
        <w:t xml:space="preserve">What is the updated outlook for 2026 equity issuance, including potential use of the $1 billion ATM program?</w:t>
      </w:r>
    </w:p>
    <w:p>
      <w:pPr>
        <w:pStyle w:val="Compact"/>
        <w:numPr>
          <w:ilvl w:val="0"/>
          <w:numId w:val="1006"/>
        </w:numPr>
      </w:pPr>
      <w:r>
        <w:rPr>
          <w:b/>
          <w:bCs/>
        </w:rPr>
        <w:t xml:space="preserve">Has management’s expectation for year-end Moody’s FFO-to-debt and credit-rating cushion changed?</w:t>
      </w:r>
    </w:p>
    <w:p>
      <w:pPr>
        <w:pStyle w:val="Compact"/>
        <w:numPr>
          <w:ilvl w:val="0"/>
          <w:numId w:val="1006"/>
        </w:numPr>
      </w:pPr>
      <w:r>
        <w:rPr>
          <w:b/>
          <w:bCs/>
        </w:rPr>
        <w:t xml:space="preserve">What are the latest economics and timing for redeploying or selling the large TEEEF units when they return from San Antonio around March 2027?</w:t>
      </w:r>
    </w:p>
    <w:bookmarkEnd w:id="17"/>
    <w:bookmarkStart w:id="18" w:name="bottom-line"/>
    <w:p>
      <w:pPr>
        <w:pStyle w:val="Heading2"/>
      </w:pPr>
      <w:r>
        <w:t xml:space="preserve">Bottom line</w:t>
      </w:r>
    </w:p>
    <w:p>
      <w:pPr>
        <w:pStyle w:val="FirstParagraph"/>
      </w:pPr>
      <w:r>
        <w:t xml:space="preserve">CNP’s 2Q26 report is principally a</w:t>
      </w:r>
      <w:r>
        <w:t xml:space="preserve"> </w:t>
      </w:r>
      <w:r>
        <w:rPr>
          <w:b/>
          <w:bCs/>
        </w:rPr>
        <w:t xml:space="preserve">validation event</w:t>
      </w:r>
      <w:r>
        <w:t xml:space="preserve">. A clean quarter, maintained confidence in at-least-midpoint 2026 guidance, continued progress toward energizing Houston large-load projects, and no deterioration in funding expectations would reinforce the case for sustained upper-end 7%–9% EPS growth.</w:t>
      </w:r>
    </w:p>
    <w:p>
      <w:pPr>
        <w:pStyle w:val="BodyText"/>
      </w:pPr>
      <w:r>
        <w:t xml:space="preserve">The risk is that investors increasingly expect evidence that the company can convert its unusually large Houston pipeline into approved projects, rate-base growth, and incremental earnings</w:t>
      </w:r>
      <w:r>
        <w:t xml:space="preserve"> </w:t>
      </w:r>
      <w:r>
        <w:rPr>
          <w:b/>
          <w:bCs/>
        </w:rPr>
        <w:t xml:space="preserve">without</w:t>
      </w:r>
      <w:r>
        <w:t xml:space="preserve"> </w:t>
      </w:r>
      <w:r>
        <w:t xml:space="preserve">an unfavorable turn in equity dilution, customer affordability, or credit metrics. With the shares already outperforming the utility sector in 2026, execution details—not merely an EPS beat—are likely to determine the reaction.</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2026-07-28T01:05:22Z</dcterms:created>
  <dcterms:modified xsi:type="dcterms:W3CDTF">2026-07-28T01:05:22Z</dcterms:modified>
</cp:coreProperties>
</file>

<file path=docProps/custom.xml><?xml version="1.0" encoding="utf-8"?>
<Properties xmlns="http://schemas.openxmlformats.org/officeDocument/2006/custom-properties" xmlns:vt="http://schemas.openxmlformats.org/officeDocument/2006/docPropsVTypes"/>
</file>