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CenterPoint Energy (CNP) — Q2 2026 Earnings Preview</w:t>
      </w:r>
    </w:p>
    <w:p>
      <w:r>
        <w:rPr>
          <w:rFonts w:ascii="Calibri" w:hAnsi="Calibri"/>
          <w:b/>
          <w:color w:val="525866"/>
          <w:sz w:val="22"/>
        </w:rPr>
        <w:t xml:space="preserve">Company: </w:t>
      </w:r>
      <w:r>
        <w:rPr>
          <w:rFonts w:ascii="Calibri" w:hAnsi="Calibri"/>
          <w:color w:val="525866"/>
          <w:sz w:val="22"/>
        </w:rPr>
        <w:t xml:space="preserve">CenterPoint Energy, Inc. (CNP)   </w:t>
      </w:r>
      <w:r>
        <w:rPr>
          <w:rFonts w:ascii="Calibri" w:hAnsi="Calibri"/>
          <w:b/>
          <w:color w:val="525866"/>
          <w:sz w:val="22"/>
        </w:rPr>
        <w:t xml:space="preserve">Earnings Date: </w:t>
      </w:r>
      <w:r>
        <w:rPr>
          <w:rFonts w:ascii="Calibri" w:hAnsi="Calibri"/>
          <w:color w:val="525866"/>
          <w:sz w:val="22"/>
        </w:rPr>
        <w:t xml:space="preserve">July 28, 2026   </w:t>
      </w:r>
      <w:r>
        <w:rPr>
          <w:rFonts w:ascii="Calibri" w:hAnsi="Calibri"/>
          <w:b/>
          <w:color w:val="525866"/>
          <w:sz w:val="22"/>
        </w:rPr>
        <w:t xml:space="preserve">Reporting Period: </w:t>
      </w:r>
      <w:r>
        <w:rPr>
          <w:rFonts w:ascii="Calibri" w:hAnsi="Calibri"/>
          <w:color w:val="525866"/>
          <w:sz w:val="22"/>
        </w:rPr>
        <w:t xml:space="preserve">Q2 2026   </w:t>
      </w:r>
      <w:r>
        <w:rPr>
          <w:rFonts w:ascii="Calibri" w:hAnsi="Calibri"/>
          <w:b/>
          <w:color w:val="525866"/>
          <w:sz w:val="22"/>
        </w:rPr>
        <w:t xml:space="preserve">Prepared: </w:t>
      </w:r>
      <w:r>
        <w:rPr>
          <w:rFonts w:ascii="Calibri" w:hAnsi="Calibri"/>
          <w:color w:val="525866"/>
          <w:sz w:val="22"/>
        </w:rPr>
        <w:t>July 27,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CNP heads into Q2 2026 with a </w:t>
      </w:r>
      <w:r>
        <w:rPr>
          <w:rFonts w:ascii="Calibri" w:hAnsi="Calibri"/>
          <w:b/>
          <w:color w:val="525866"/>
          <w:sz w:val="22"/>
        </w:rPr>
        <w:t>manageable bar</w:t>
      </w:r>
      <w:r>
        <w:rPr>
          <w:rFonts w:ascii="Calibri" w:hAnsi="Calibri"/>
          <w:color w:val="525866"/>
          <w:sz w:val="22"/>
        </w:rPr>
        <w:t xml:space="preserve"> — consensus Operating EPS of ~$0.38 sits above the weather-impacted $0.29 comp from Q2 2025, and the real focus will be on whether management can deliver another </w:t>
      </w:r>
      <w:r>
        <w:rPr>
          <w:rFonts w:ascii="Calibri" w:hAnsi="Calibri"/>
          <w:b/>
          <w:color w:val="525866"/>
          <w:sz w:val="22"/>
        </w:rPr>
        <w:t>load growth update</w:t>
      </w:r>
      <w:r>
        <w:rPr>
          <w:rFonts w:ascii="Calibri" w:hAnsi="Calibri"/>
          <w:color w:val="525866"/>
          <w:sz w:val="22"/>
        </w:rPr>
        <w:t xml:space="preserve"> and any incremental color on the </w:t>
      </w:r>
      <w:r>
        <w:rPr>
          <w:rFonts w:ascii="Calibri" w:hAnsi="Calibri"/>
          <w:b/>
          <w:color w:val="525866"/>
          <w:sz w:val="22"/>
        </w:rPr>
        <w:t>transmission planning study</w:t>
      </w:r>
      <w:r>
        <w:rPr>
          <w:rFonts w:ascii="Calibri" w:hAnsi="Calibri"/>
          <w:color w:val="525866"/>
          <w:sz w:val="22"/>
        </w:rPr>
        <w:t xml:space="preserve"> expected in H2 2026. The single biggest swing factor is the pace of ERCOT approvals for the remaining ~9 GW of committed load and any update on the </w:t>
      </w:r>
      <w:r>
        <w:rPr>
          <w:rFonts w:ascii="Calibri" w:hAnsi="Calibri"/>
          <w:b/>
          <w:color w:val="525866"/>
          <w:sz w:val="22"/>
        </w:rPr>
        <w:t>Indiana Electric large load customer</w:t>
      </w:r>
      <w:r>
        <w:rPr>
          <w:rFonts w:ascii="Calibri" w:hAnsi="Calibri"/>
          <w:color w:val="525866"/>
          <w:sz w:val="22"/>
        </w:rPr>
        <w:t>.</w:t>
      </w:r>
    </w:p>
    <w:p>
      <w:r>
        <w:rPr>
          <w:rFonts w:ascii="Calibri" w:hAnsi="Calibri"/>
          <w:color w:val="525866"/>
          <w:sz w:val="22"/>
        </w:rPr>
        <w:t xml:space="preserve">CenterPoint heads into Q2 2026 with a relatively </w:t>
      </w:r>
      <w:r>
        <w:rPr>
          <w:rFonts w:ascii="Calibri" w:hAnsi="Calibri"/>
          <w:b/>
          <w:color w:val="525866"/>
          <w:sz w:val="22"/>
        </w:rPr>
        <w:t>low bar on EPS</w:t>
      </w:r>
      <w:r>
        <w:rPr>
          <w:rFonts w:ascii="Calibri" w:hAnsi="Calibri"/>
          <w:color w:val="525866"/>
          <w:sz w:val="22"/>
        </w:rPr>
        <w:t xml:space="preserve"> — consensus Operating EPS of ~$0.38 compares to $0.29 in Q2 2025, a quarter impacted by milder weather and the absence of Louisiana/Mississippi earnings. Management reiterated full-year 2026 non-GAAP EPS guidance of </w:t>
      </w:r>
      <w:r>
        <w:rPr>
          <w:rFonts w:ascii="Calibri" w:hAnsi="Calibri"/>
          <w:b/>
          <w:color w:val="525866"/>
          <w:sz w:val="22"/>
        </w:rPr>
        <w:t>$1.89–$1.91</w:t>
      </w:r>
      <w:r>
        <w:rPr>
          <w:rFonts w:ascii="Calibri" w:hAnsi="Calibri"/>
          <w:color w:val="525866"/>
          <w:sz w:val="22"/>
        </w:rPr>
        <w:t xml:space="preserve"> at Q1 and expressed confidence in delivering at the midpoint or above, supported by ~$6M/month of incremental demand charges per GW of industrial load added and ~85% of capex recovered through capital trackers. Estimate revisions have been </w:t>
      </w:r>
      <w:r>
        <w:rPr>
          <w:rFonts w:ascii="Calibri" w:hAnsi="Calibri"/>
          <w:b/>
          <w:color w:val="525866"/>
          <w:sz w:val="22"/>
        </w:rPr>
        <w:t>stable-to-slightly-positive</w:t>
      </w:r>
      <w:r>
        <w:rPr>
          <w:rFonts w:ascii="Calibri" w:hAnsi="Calibri"/>
          <w:color w:val="525866"/>
          <w:sz w:val="22"/>
        </w:rPr>
        <w:t xml:space="preserve"> since Q1 earnings, with the FY2026 consensus at $1.91 essentially in line with the guidance midpoint — suggesting the street is not pricing in meaningful upside. The stock has outperformed XLU by ~+2.8% since Q1 earnings (CNP +1.9% vs. XLU -0.9%), reflecting continued enthusiasm for the Texas load growth story, though the stock has pulled back from a late-June peak near $45. The key wildcard is the </w:t>
      </w:r>
      <w:r>
        <w:rPr>
          <w:rFonts w:ascii="Calibri" w:hAnsi="Calibri"/>
          <w:b/>
          <w:color w:val="525866"/>
          <w:sz w:val="22"/>
        </w:rPr>
        <w:t>transmission planning study refresh</w:t>
      </w:r>
      <w:r>
        <w:rPr>
          <w:rFonts w:ascii="Calibri" w:hAnsi="Calibri"/>
          <w:color w:val="525866"/>
          <w:sz w:val="22"/>
        </w:rPr>
        <w:t xml:space="preserve"> (expected H2 2026 completion) — a favorable outcome could unlock significant new transmission project announcements and provide upside to the $65.5B base capital plan.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Operating EPS of $0.38 for Q2 2026 represents a meaningful step-up from the weather-impacted $0.29 in Q2 2025; </w:t>
      </w:r>
      <w:r>
        <w:rPr>
          <w:rFonts w:ascii="Calibri" w:hAnsi="Calibri"/>
          <w:b/>
          <w:color w:val="525866"/>
          <w:sz w:val="22"/>
        </w:rPr>
        <w:t>Electric throughput</w:t>
      </w:r>
      <w:r>
        <w:rPr>
          <w:rFonts w:ascii="Calibri" w:hAnsi="Calibri"/>
          <w:color w:val="525866"/>
          <w:sz w:val="22"/>
        </w:rPr>
        <w:t xml:space="preserve"> is the bigger swing factor given summer heat sensitivity and the ramp of new industrial load.</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w:t>
            </w:r>
          </w:p>
        </w:tc>
        <w:tc>
          <w:tcPr>
            <w:tcW w:type="dxa" w:w="1234"/>
          </w:tcPr>
          <w:p>
            <w:r>
              <w:rPr>
                <w:rFonts w:ascii="Calibri" w:hAnsi="Calibri"/>
                <w:sz w:val="22"/>
              </w:rPr>
              <w:t>$0.56</w:t>
            </w:r>
          </w:p>
        </w:tc>
        <w:tc>
          <w:tcPr>
            <w:tcW w:type="dxa" w:w="1234"/>
          </w:tcPr>
          <w:p>
            <w:r>
              <w:rPr>
                <w:rFonts w:ascii="Calibri" w:hAnsi="Calibri"/>
                <w:sz w:val="22"/>
              </w:rPr>
              <w:t>$0.29</w:t>
            </w:r>
          </w:p>
        </w:tc>
        <w:tc>
          <w:tcPr>
            <w:tcW w:type="dxa" w:w="1234"/>
          </w:tcPr>
          <w:p>
            <w:r>
              <w:rPr>
                <w:rFonts w:ascii="Calibri" w:hAnsi="Calibri"/>
                <w:sz w:val="22"/>
              </w:rPr>
              <w:t>$0.38</w:t>
            </w:r>
          </w:p>
        </w:tc>
        <w:tc>
          <w:tcPr>
            <w:tcW w:type="dxa" w:w="1234"/>
          </w:tcPr>
          <w:p>
            <w:r>
              <w:rPr>
                <w:rFonts w:ascii="Calibri" w:hAnsi="Calibri"/>
                <w:b/>
                <w:color w:val="30A46C"/>
                <w:sz w:val="22"/>
              </w:rPr>
              <w:t>+31.0%</w:t>
            </w:r>
          </w:p>
        </w:tc>
        <w:tc>
          <w:tcPr>
            <w:tcW w:type="dxa" w:w="1234"/>
          </w:tcPr>
          <w:p>
            <w:r>
              <w:rPr>
                <w:rFonts w:ascii="Calibri" w:hAnsi="Calibri"/>
                <w:sz w:val="22"/>
              </w:rPr>
              <w:t>$1.89–$1.91 FY</w:t>
            </w:r>
          </w:p>
        </w:tc>
        <w:tc>
          <w:tcPr>
            <w:tcW w:type="dxa" w:w="1234"/>
          </w:tcPr>
          <w:p>
            <w:r>
              <w:rPr>
                <w:rFonts w:ascii="Calibri" w:hAnsi="Calibri"/>
                <w:sz w:val="22"/>
              </w:rPr>
              <w:t>N/A (quarterly)</w:t>
            </w:r>
          </w:p>
        </w:tc>
      </w:tr>
      <w:tr>
        <w:tc>
          <w:tcPr>
            <w:tcW w:type="dxa" w:w="1234"/>
          </w:tcPr>
          <w:p>
            <w:r>
              <w:rPr>
                <w:rFonts w:ascii="Calibri" w:hAnsi="Calibri"/>
                <w:sz w:val="22"/>
              </w:rPr>
              <w:t>Total Revenue ($B)</w:t>
            </w:r>
          </w:p>
        </w:tc>
        <w:tc>
          <w:tcPr>
            <w:tcW w:type="dxa" w:w="1234"/>
          </w:tcPr>
          <w:p>
            <w:r>
              <w:rPr>
                <w:rFonts w:ascii="Calibri" w:hAnsi="Calibri"/>
                <w:sz w:val="22"/>
              </w:rPr>
              <w:t>$2.975B</w:t>
            </w:r>
          </w:p>
        </w:tc>
        <w:tc>
          <w:tcPr>
            <w:tcW w:type="dxa" w:w="1234"/>
          </w:tcPr>
          <w:p>
            <w:r>
              <w:rPr>
                <w:rFonts w:ascii="Calibri" w:hAnsi="Calibri"/>
                <w:sz w:val="22"/>
              </w:rPr>
              <w:t>$1.944B</w:t>
            </w:r>
          </w:p>
        </w:tc>
        <w:tc>
          <w:tcPr>
            <w:tcW w:type="dxa" w:w="1234"/>
          </w:tcPr>
          <w:p>
            <w:r>
              <w:rPr>
                <w:rFonts w:ascii="Calibri" w:hAnsi="Calibri"/>
                <w:sz w:val="22"/>
              </w:rPr>
              <w:t>$2.249B</w:t>
            </w:r>
          </w:p>
        </w:tc>
        <w:tc>
          <w:tcPr>
            <w:tcW w:type="dxa" w:w="1234"/>
          </w:tcPr>
          <w:p>
            <w:r>
              <w:rPr>
                <w:rFonts w:ascii="Calibri" w:hAnsi="Calibri"/>
                <w:b/>
                <w:color w:val="30A46C"/>
                <w:sz w:val="22"/>
              </w:rPr>
              <w:t>+15.7%</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Capital Additions ($B)</w:t>
            </w:r>
          </w:p>
        </w:tc>
        <w:tc>
          <w:tcPr>
            <w:tcW w:type="dxa" w:w="1234"/>
          </w:tcPr>
          <w:p>
            <w:r>
              <w:rPr>
                <w:rFonts w:ascii="Calibri" w:hAnsi="Calibri"/>
                <w:sz w:val="22"/>
              </w:rPr>
              <w:t>$1.198B</w:t>
            </w:r>
          </w:p>
        </w:tc>
        <w:tc>
          <w:tcPr>
            <w:tcW w:type="dxa" w:w="1234"/>
          </w:tcPr>
          <w:p>
            <w:r>
              <w:rPr>
                <w:rFonts w:ascii="Calibri" w:hAnsi="Calibri"/>
                <w:sz w:val="22"/>
              </w:rPr>
              <w:t>$1.129B</w:t>
            </w:r>
          </w:p>
        </w:tc>
        <w:tc>
          <w:tcPr>
            <w:tcW w:type="dxa" w:w="1234"/>
          </w:tcPr>
          <w:p>
            <w:r>
              <w:rPr>
                <w:rFonts w:ascii="Calibri" w:hAnsi="Calibri"/>
                <w:sz w:val="22"/>
              </w:rPr>
              <w:t>$1.761B</w:t>
            </w:r>
          </w:p>
        </w:tc>
        <w:tc>
          <w:tcPr>
            <w:tcW w:type="dxa" w:w="1234"/>
          </w:tcPr>
          <w:p>
            <w:r>
              <w:rPr>
                <w:rFonts w:ascii="Calibri" w:hAnsi="Calibri"/>
                <w:b/>
                <w:color w:val="30A46C"/>
                <w:sz w:val="22"/>
              </w:rPr>
              <w:t>+55.9%</w:t>
            </w:r>
          </w:p>
        </w:tc>
        <w:tc>
          <w:tcPr>
            <w:tcW w:type="dxa" w:w="1234"/>
          </w:tcPr>
          <w:p>
            <w:r>
              <w:rPr>
                <w:rFonts w:ascii="Calibri" w:hAnsi="Calibri"/>
                <w:sz w:val="22"/>
              </w:rPr>
              <w:t>~$6.8B FY</w:t>
            </w:r>
          </w:p>
        </w:tc>
        <w:tc>
          <w:tcPr>
            <w:tcW w:type="dxa" w:w="1234"/>
          </w:tcPr>
          <w:p>
            <w:r>
              <w:rPr>
                <w:rFonts w:ascii="Calibri" w:hAnsi="Calibri"/>
                <w:sz w:val="22"/>
              </w:rPr>
              <w:t>Tracking</w:t>
            </w:r>
          </w:p>
        </w:tc>
      </w:tr>
      <w:tr>
        <w:tc>
          <w:tcPr>
            <w:tcW w:type="dxa" w:w="1234"/>
          </w:tcPr>
          <w:p>
            <w:r>
              <w:rPr>
                <w:rFonts w:ascii="Calibri" w:hAnsi="Calibri"/>
                <w:sz w:val="22"/>
              </w:rPr>
              <w:t>Electric Throughput (GWh)</w:t>
            </w:r>
          </w:p>
        </w:tc>
        <w:tc>
          <w:tcPr>
            <w:tcW w:type="dxa" w:w="1234"/>
          </w:tcPr>
          <w:p>
            <w:r>
              <w:rPr>
                <w:rFonts w:ascii="Calibri" w:hAnsi="Calibri"/>
                <w:sz w:val="22"/>
              </w:rPr>
              <w:t>24,957</w:t>
            </w:r>
          </w:p>
        </w:tc>
        <w:tc>
          <w:tcPr>
            <w:tcW w:type="dxa" w:w="1234"/>
          </w:tcPr>
          <w:p>
            <w:r>
              <w:rPr>
                <w:rFonts w:ascii="Calibri" w:hAnsi="Calibri"/>
                <w:sz w:val="22"/>
              </w:rPr>
              <w:t>30,313</w:t>
            </w:r>
          </w:p>
        </w:tc>
        <w:tc>
          <w:tcPr>
            <w:tcW w:type="dxa" w:w="1234"/>
          </w:tcPr>
          <w:p>
            <w:r>
              <w:rPr>
                <w:rFonts w:ascii="Calibri" w:hAnsi="Calibri"/>
                <w:sz w:val="22"/>
              </w:rPr>
              <w:t>30,995</w:t>
            </w:r>
          </w:p>
        </w:tc>
        <w:tc>
          <w:tcPr>
            <w:tcW w:type="dxa" w:w="1234"/>
          </w:tcPr>
          <w:p>
            <w:r>
              <w:rPr>
                <w:rFonts w:ascii="Calibri" w:hAnsi="Calibri"/>
                <w:b/>
                <w:color w:val="30A46C"/>
                <w:sz w:val="22"/>
              </w:rPr>
              <w:t>+2.2%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FFO/Total Debt (%)</w:t>
            </w:r>
          </w:p>
        </w:tc>
        <w:tc>
          <w:tcPr>
            <w:tcW w:type="dxa" w:w="1234"/>
          </w:tcPr>
          <w:p>
            <w:r>
              <w:rPr>
                <w:rFonts w:ascii="Calibri" w:hAnsi="Calibri"/>
                <w:sz w:val="22"/>
              </w:rPr>
              <w:t>12.5% (Q1 adj.)</w:t>
            </w:r>
          </w:p>
        </w:tc>
        <w:tc>
          <w:tcPr>
            <w:tcW w:type="dxa" w:w="1234"/>
          </w:tcPr>
          <w:p>
            <w:r>
              <w:rPr>
                <w:rFonts w:ascii="Calibri" w:hAnsi="Calibri"/>
                <w:sz w:val="22"/>
              </w:rPr>
              <w:t>14.1%</w:t>
            </w:r>
          </w:p>
        </w:tc>
        <w:tc>
          <w:tcPr>
            <w:tcW w:type="dxa" w:w="1234"/>
          </w:tcPr>
          <w:p>
            <w:r>
              <w:rPr>
                <w:rFonts w:ascii="Calibri" w:hAnsi="Calibri"/>
                <w:sz w:val="22"/>
              </w:rPr>
              <w:t>~11.7% (est.)</w:t>
            </w:r>
          </w:p>
        </w:tc>
        <w:tc>
          <w:tcPr>
            <w:tcW w:type="dxa" w:w="1234"/>
          </w:tcPr>
          <w:p>
            <w:r>
              <w:rPr>
                <w:rFonts w:ascii="Calibri" w:hAnsi="Calibri"/>
                <w:sz w:val="22"/>
              </w:rPr>
              <w:t>N/A</w:t>
            </w:r>
          </w:p>
        </w:tc>
        <w:tc>
          <w:tcPr>
            <w:tcW w:type="dxa" w:w="1234"/>
          </w:tcPr>
          <w:p>
            <w:r>
              <w:rPr>
                <w:rFonts w:ascii="Calibri" w:hAnsi="Calibri"/>
                <w:sz w:val="22"/>
              </w:rPr>
              <w:t>High end of cushion by YE</w:t>
            </w:r>
          </w:p>
        </w:tc>
        <w:tc>
          <w:tcPr>
            <w:tcW w:type="dxa" w:w="1234"/>
          </w:tcPr>
          <w:p>
            <w:r>
              <w:rPr>
                <w:rFonts w:ascii="Calibri" w:hAnsi="Calibri"/>
                <w:sz w:val="22"/>
              </w:rPr>
              <w:t>N/A</w:t>
            </w:r>
          </w:p>
        </w:tc>
      </w:tr>
    </w:tbl>
    <w:p>
      <w:r>
        <w:rPr>
          <w:rFonts w:ascii="Calibri" w:hAnsi="Calibri"/>
          <w:i/>
          <w:color w:val="525866"/>
          <w:sz w:val="22"/>
        </w:rPr>
        <w:t xml:space="preserve">Note: </w:t>
      </w:r>
      <w:r>
        <w:rPr>
          <w:rFonts w:ascii="Calibri" w:hAnsi="Calibri"/>
          <w:i/>
          <w:color w:val="525866"/>
          <w:sz w:val="22"/>
        </w:rPr>
        <w:t>All consensus figures from Visible Alpha. FFO/Total Debt Q2 2026 consensus not available in VA; Q1 2026 actual of 12.5% reflects temporary timing pressure from debt pull-forward; management expects to end 2026 at the high end of its targeted cushion (~150bps above Moody’s threshold).</w:t>
      </w:r>
    </w:p>
    <w:p>
      <w:pPr>
        <w:pStyle w:val="Heading3"/>
      </w:pPr>
      <w:r>
        <w:rPr>
          <w:rFonts w:ascii="Calibri" w:hAnsi="Calibri"/>
          <w:b/>
          <w:color w:val="3B4259"/>
          <w:sz w:val="24"/>
        </w:rPr>
        <w:t>Table 2 — Beat/Miss History (Last 8 Quarters,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$0.364</w:t>
            </w:r>
          </w:p>
        </w:tc>
        <w:tc>
          <w:tcPr>
            <w:tcW w:type="dxa" w:w="1728"/>
          </w:tcPr>
          <w:p>
            <w:r>
              <w:rPr>
                <w:rFonts w:ascii="Calibri" w:hAnsi="Calibri"/>
                <w:sz w:val="22"/>
              </w:rPr>
              <w:t>$0.318</w:t>
            </w:r>
          </w:p>
        </w:tc>
        <w:tc>
          <w:tcPr>
            <w:tcW w:type="dxa" w:w="1728"/>
          </w:tcPr>
          <w:p>
            <w:r>
              <w:rPr>
                <w:rFonts w:ascii="Calibri" w:hAnsi="Calibri"/>
                <w:b/>
                <w:color w:val="30A46C"/>
                <w:sz w:val="22"/>
              </w:rPr>
              <w:t>+14.5%</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$0.310</w:t>
            </w:r>
          </w:p>
        </w:tc>
        <w:tc>
          <w:tcPr>
            <w:tcW w:type="dxa" w:w="1728"/>
          </w:tcPr>
          <w:p>
            <w:r>
              <w:rPr>
                <w:rFonts w:ascii="Calibri" w:hAnsi="Calibri"/>
                <w:sz w:val="22"/>
              </w:rPr>
              <w:t>$0.322</w:t>
            </w:r>
          </w:p>
        </w:tc>
        <w:tc>
          <w:tcPr>
            <w:tcW w:type="dxa" w:w="1728"/>
          </w:tcPr>
          <w:p>
            <w:r>
              <w:rPr>
                <w:rFonts w:ascii="Calibri" w:hAnsi="Calibri"/>
                <w:b/>
                <w:color w:val="E5484D"/>
                <w:sz w:val="22"/>
              </w:rPr>
              <w:t>-3.7%</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$0.400</w:t>
            </w:r>
          </w:p>
        </w:tc>
        <w:tc>
          <w:tcPr>
            <w:tcW w:type="dxa" w:w="1728"/>
          </w:tcPr>
          <w:p>
            <w:r>
              <w:rPr>
                <w:rFonts w:ascii="Calibri" w:hAnsi="Calibri"/>
                <w:sz w:val="22"/>
              </w:rPr>
              <w:t>$0.403</w:t>
            </w:r>
          </w:p>
        </w:tc>
        <w:tc>
          <w:tcPr>
            <w:tcW w:type="dxa" w:w="1728"/>
          </w:tcPr>
          <w:p>
            <w:r>
              <w:rPr>
                <w:rFonts w:ascii="Calibri" w:hAnsi="Calibri"/>
                <w:sz w:val="22"/>
              </w:rPr>
              <w:t>-0.7%</w:t>
            </w:r>
          </w:p>
        </w:tc>
        <w:tc>
          <w:tcPr>
            <w:tcW w:type="dxa" w:w="1728"/>
          </w:tcPr>
          <w:p>
            <w:r>
              <w:rPr>
                <w:rFonts w:ascii="Calibri" w:hAnsi="Calibri"/>
                <w:sz w:val="22"/>
              </w:rPr>
              <w:t>In-Line</w:t>
            </w:r>
          </w:p>
        </w:tc>
      </w:tr>
      <w:tr>
        <w:tc>
          <w:tcPr>
            <w:tcW w:type="dxa" w:w="1728"/>
          </w:tcPr>
          <w:p>
            <w:r>
              <w:rPr>
                <w:rFonts w:ascii="Calibri" w:hAnsi="Calibri"/>
                <w:sz w:val="22"/>
              </w:rPr>
              <w:t>Q1 2025</w:t>
            </w:r>
          </w:p>
        </w:tc>
        <w:tc>
          <w:tcPr>
            <w:tcW w:type="dxa" w:w="1728"/>
          </w:tcPr>
          <w:p>
            <w:r>
              <w:rPr>
                <w:rFonts w:ascii="Calibri" w:hAnsi="Calibri"/>
                <w:sz w:val="22"/>
              </w:rPr>
              <w:t>$0.530</w:t>
            </w:r>
          </w:p>
        </w:tc>
        <w:tc>
          <w:tcPr>
            <w:tcW w:type="dxa" w:w="1728"/>
          </w:tcPr>
          <w:p>
            <w:r>
              <w:rPr>
                <w:rFonts w:ascii="Calibri" w:hAnsi="Calibri"/>
                <w:sz w:val="22"/>
              </w:rPr>
              <w:t>$0.534</w:t>
            </w:r>
          </w:p>
        </w:tc>
        <w:tc>
          <w:tcPr>
            <w:tcW w:type="dxa" w:w="1728"/>
          </w:tcPr>
          <w:p>
            <w:r>
              <w:rPr>
                <w:rFonts w:ascii="Calibri" w:hAnsi="Calibri"/>
                <w:sz w:val="22"/>
              </w:rPr>
              <w:t>-0.7%</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$0.290</w:t>
            </w:r>
          </w:p>
        </w:tc>
        <w:tc>
          <w:tcPr>
            <w:tcW w:type="dxa" w:w="1728"/>
          </w:tcPr>
          <w:p>
            <w:r>
              <w:rPr>
                <w:rFonts w:ascii="Calibri" w:hAnsi="Calibri"/>
                <w:sz w:val="22"/>
              </w:rPr>
              <w:t>$0.338</w:t>
            </w:r>
          </w:p>
        </w:tc>
        <w:tc>
          <w:tcPr>
            <w:tcW w:type="dxa" w:w="1728"/>
          </w:tcPr>
          <w:p>
            <w:r>
              <w:rPr>
                <w:rFonts w:ascii="Calibri" w:hAnsi="Calibri"/>
                <w:b/>
                <w:color w:val="E5484D"/>
                <w:sz w:val="22"/>
              </w:rPr>
              <w:t>-14.2%</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$0.500</w:t>
            </w:r>
          </w:p>
        </w:tc>
        <w:tc>
          <w:tcPr>
            <w:tcW w:type="dxa" w:w="1728"/>
          </w:tcPr>
          <w:p>
            <w:r>
              <w:rPr>
                <w:rFonts w:ascii="Calibri" w:hAnsi="Calibri"/>
                <w:sz w:val="22"/>
              </w:rPr>
              <w:t>$0.446</w:t>
            </w:r>
          </w:p>
        </w:tc>
        <w:tc>
          <w:tcPr>
            <w:tcW w:type="dxa" w:w="1728"/>
          </w:tcPr>
          <w:p>
            <w:r>
              <w:rPr>
                <w:rFonts w:ascii="Calibri" w:hAnsi="Calibri"/>
                <w:b/>
                <w:color w:val="30A46C"/>
                <w:sz w:val="22"/>
              </w:rPr>
              <w:t>+12.1%</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$0.447</w:t>
            </w:r>
          </w:p>
        </w:tc>
        <w:tc>
          <w:tcPr>
            <w:tcW w:type="dxa" w:w="1728"/>
          </w:tcPr>
          <w:p>
            <w:r>
              <w:rPr>
                <w:rFonts w:ascii="Calibri" w:hAnsi="Calibri"/>
                <w:sz w:val="22"/>
              </w:rPr>
              <w:t>$0.454</w:t>
            </w:r>
          </w:p>
        </w:tc>
        <w:tc>
          <w:tcPr>
            <w:tcW w:type="dxa" w:w="1728"/>
          </w:tcPr>
          <w:p>
            <w:r>
              <w:rPr>
                <w:rFonts w:ascii="Calibri" w:hAnsi="Calibri"/>
                <w:sz w:val="22"/>
              </w:rPr>
              <w:t>-1.5%</w:t>
            </w:r>
          </w:p>
        </w:tc>
        <w:tc>
          <w:tcPr>
            <w:tcW w:type="dxa" w:w="1728"/>
          </w:tcPr>
          <w:p>
            <w:r>
              <w:rPr>
                <w:rFonts w:ascii="Calibri" w:hAnsi="Calibri"/>
                <w:sz w:val="22"/>
              </w:rPr>
              <w:t>In-Line</w:t>
            </w:r>
          </w:p>
        </w:tc>
      </w:tr>
      <w:tr>
        <w:tc>
          <w:tcPr>
            <w:tcW w:type="dxa" w:w="1728"/>
          </w:tcPr>
          <w:p>
            <w:r>
              <w:rPr>
                <w:rFonts w:ascii="Calibri" w:hAnsi="Calibri"/>
                <w:sz w:val="22"/>
              </w:rPr>
              <w:t>Q1 2026</w:t>
            </w:r>
          </w:p>
        </w:tc>
        <w:tc>
          <w:tcPr>
            <w:tcW w:type="dxa" w:w="1728"/>
          </w:tcPr>
          <w:p>
            <w:r>
              <w:rPr>
                <w:rFonts w:ascii="Calibri" w:hAnsi="Calibri"/>
                <w:sz w:val="22"/>
              </w:rPr>
              <w:t>$0.560</w:t>
            </w:r>
          </w:p>
        </w:tc>
        <w:tc>
          <w:tcPr>
            <w:tcW w:type="dxa" w:w="1728"/>
          </w:tcPr>
          <w:p>
            <w:r>
              <w:rPr>
                <w:rFonts w:ascii="Calibri" w:hAnsi="Calibri"/>
                <w:sz w:val="22"/>
              </w:rPr>
              <w:t>$0.550</w:t>
            </w:r>
          </w:p>
        </w:tc>
        <w:tc>
          <w:tcPr>
            <w:tcW w:type="dxa" w:w="1728"/>
          </w:tcPr>
          <w:p>
            <w:r>
              <w:rPr>
                <w:rFonts w:ascii="Calibri" w:hAnsi="Calibri"/>
                <w:b/>
                <w:color w:val="30A46C"/>
                <w:sz w:val="22"/>
              </w:rPr>
              <w:t>+1.8%</w:t>
            </w:r>
          </w:p>
        </w:tc>
        <w:tc>
          <w:tcPr>
            <w:tcW w:type="dxa" w:w="1728"/>
          </w:tcPr>
          <w:p>
            <w:r>
              <w:rPr>
                <w:rFonts w:ascii="Calibri" w:hAnsi="Calibri"/>
                <w:sz w:val="22"/>
              </w:rPr>
              <w:t>Slight Beat</w:t>
            </w:r>
          </w:p>
        </w:tc>
      </w:tr>
    </w:tbl>
    <w:p>
      <w:r>
        <w:rPr>
          <w:rFonts w:ascii="Calibri" w:hAnsi="Calibri"/>
          <w:i/>
          <w:color w:val="525866"/>
          <w:sz w:val="22"/>
        </w:rPr>
        <w:t xml:space="preserve">Note: </w:t>
      </w:r>
      <w:r>
        <w:rPr>
          <w:rFonts w:ascii="Calibri" w:hAnsi="Calibri"/>
          <w:i/>
          <w:color w:val="525866"/>
          <w:sz w:val="22"/>
        </w:rPr>
        <w:t>CNP’s beat/miss history is mixed — weather-sensitive quarters (Q2 2025, Q3 2024) have driven the largest misses and beats. The Q2 2025 miss of -14.2% was driven by milder weather and the absence of Louisiana/Mississippi earnings; the Q3 2025 beat of +12.1% reflected hotter-than-expected summer temperatures. The Q2 2026 bar appears achievable given the easier comp and accelerating industrial load ramp. All figures from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Q1 2026 earnings</w:t>
      </w:r>
      <w:r>
        <w:rPr>
          <w:rFonts w:ascii="Calibri" w:hAnsi="Calibri"/>
          <w:color w:val="525866"/>
          <w:sz w:val="22"/>
        </w:rPr>
        <w:t xml:space="preserve"> — management reiterated FY2026 non-GAAP EPS of $1.89–$1.91 and long-term 7–9% growth through 2035. The only post-earnings development was the establishment of a new </w:t>
      </w:r>
      <w:r>
        <w:rPr>
          <w:rFonts w:ascii="Calibri" w:hAnsi="Calibri"/>
          <w:b/>
          <w:color w:val="525866"/>
          <w:sz w:val="22"/>
        </w:rPr>
        <w:t>$1B ATM equity program</w:t>
      </w:r>
      <w:r>
        <w:rPr>
          <w:rFonts w:ascii="Calibri" w:hAnsi="Calibri"/>
          <w:color w:val="525866"/>
          <w:sz w:val="22"/>
        </w:rPr>
        <w:t xml:space="preserve"> on May 15, 2026, which modestly surprised the market but is consistent with CNP’s strategy of derisking its financing plan.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Non-GAAP EPS</w:t>
            </w:r>
          </w:p>
        </w:tc>
        <w:tc>
          <w:tcPr>
            <w:tcW w:type="dxa" w:w="1728"/>
          </w:tcPr>
          <w:p>
            <w:r>
              <w:rPr>
                <w:rFonts w:ascii="Calibri" w:hAnsi="Calibri"/>
                <w:sz w:val="22"/>
              </w:rPr>
              <w:t>$1.89–$1.91</w:t>
            </w:r>
          </w:p>
        </w:tc>
        <w:tc>
          <w:tcPr>
            <w:tcW w:type="dxa" w:w="1728"/>
          </w:tcPr>
          <w:p>
            <w:r>
              <w:rPr>
                <w:rFonts w:ascii="Calibri" w:hAnsi="Calibri"/>
                <w:sz w:val="22"/>
              </w:rPr>
              <w:t>—</w:t>
            </w:r>
          </w:p>
        </w:tc>
        <w:tc>
          <w:tcPr>
            <w:tcW w:type="dxa" w:w="1728"/>
          </w:tcPr>
          <w:p>
            <w:r>
              <w:rPr>
                <w:rFonts w:ascii="Calibri" w:hAnsi="Calibri"/>
                <w:sz w:val="22"/>
              </w:rPr>
              <w:t>$1.91</w:t>
            </w:r>
          </w:p>
        </w:tc>
        <w:tc>
          <w:tcPr>
            <w:tcW w:type="dxa" w:w="1728"/>
          </w:tcPr>
          <w:p>
            <w:r>
              <w:rPr>
                <w:rFonts w:ascii="Calibri" w:hAnsi="Calibri"/>
                <w:sz w:val="22"/>
              </w:rPr>
              <w:t>Reiterated; management targeting at least midpoint</w:t>
            </w:r>
          </w:p>
        </w:tc>
      </w:tr>
      <w:tr>
        <w:tc>
          <w:tcPr>
            <w:tcW w:type="dxa" w:w="1728"/>
          </w:tcPr>
          <w:p>
            <w:r>
              <w:rPr>
                <w:rFonts w:ascii="Calibri" w:hAnsi="Calibri"/>
                <w:sz w:val="22"/>
              </w:rPr>
              <w:t>LT EPS Growth</w:t>
            </w:r>
          </w:p>
        </w:tc>
        <w:tc>
          <w:tcPr>
            <w:tcW w:type="dxa" w:w="1728"/>
          </w:tcPr>
          <w:p>
            <w:r>
              <w:rPr>
                <w:rFonts w:ascii="Calibri" w:hAnsi="Calibri"/>
                <w:sz w:val="22"/>
              </w:rPr>
              <w:t>Mid-to-high end of 7–9% through 2028; 7–9% through 2035</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Unchanged</w:t>
            </w:r>
          </w:p>
        </w:tc>
      </w:tr>
      <w:tr>
        <w:tc>
          <w:tcPr>
            <w:tcW w:type="dxa" w:w="1728"/>
          </w:tcPr>
          <w:p>
            <w:r>
              <w:rPr>
                <w:rFonts w:ascii="Calibri" w:hAnsi="Calibri"/>
                <w:sz w:val="22"/>
              </w:rPr>
              <w:t>FY2026 CapEx</w:t>
            </w:r>
          </w:p>
        </w:tc>
        <w:tc>
          <w:tcPr>
            <w:tcW w:type="dxa" w:w="1728"/>
          </w:tcPr>
          <w:p>
            <w:r>
              <w:rPr>
                <w:rFonts w:ascii="Calibri" w:hAnsi="Calibri"/>
                <w:sz w:val="22"/>
              </w:rPr>
              <w:t>~$6.8B</w:t>
            </w:r>
          </w:p>
        </w:tc>
        <w:tc>
          <w:tcPr>
            <w:tcW w:type="dxa" w:w="1728"/>
          </w:tcPr>
          <w:p>
            <w:r>
              <w:rPr>
                <w:rFonts w:ascii="Calibri" w:hAnsi="Calibri"/>
                <w:sz w:val="22"/>
              </w:rPr>
              <w:t>—</w:t>
            </w:r>
          </w:p>
        </w:tc>
        <w:tc>
          <w:tcPr>
            <w:tcW w:type="dxa" w:w="1728"/>
          </w:tcPr>
          <w:p>
            <w:r>
              <w:rPr>
                <w:rFonts w:ascii="Calibri" w:hAnsi="Calibri"/>
                <w:sz w:val="22"/>
              </w:rPr>
              <w:t>$6.70B</w:t>
            </w:r>
          </w:p>
        </w:tc>
        <w:tc>
          <w:tcPr>
            <w:tcW w:type="dxa" w:w="1728"/>
          </w:tcPr>
          <w:p>
            <w:r>
              <w:rPr>
                <w:rFonts w:ascii="Calibri" w:hAnsi="Calibri"/>
                <w:sz w:val="22"/>
              </w:rPr>
              <w:t>On track per Q1 commentary</w:t>
            </w:r>
          </w:p>
        </w:tc>
      </w:tr>
      <w:tr>
        <w:tc>
          <w:tcPr>
            <w:tcW w:type="dxa" w:w="1728"/>
          </w:tcPr>
          <w:p>
            <w:r>
              <w:rPr>
                <w:rFonts w:ascii="Calibri" w:hAnsi="Calibri"/>
                <w:sz w:val="22"/>
              </w:rPr>
              <w:t>FFO/Debt</w:t>
            </w:r>
          </w:p>
        </w:tc>
        <w:tc>
          <w:tcPr>
            <w:tcW w:type="dxa" w:w="1728"/>
          </w:tcPr>
          <w:p>
            <w:r>
              <w:rPr>
                <w:rFonts w:ascii="Calibri" w:hAnsi="Calibri"/>
                <w:sz w:val="22"/>
              </w:rPr>
              <w:t>High end of ~150bps cushion vs. Moody’s by YE</w:t>
            </w:r>
          </w:p>
        </w:tc>
        <w:tc>
          <w:tcPr>
            <w:tcW w:type="dxa" w:w="1728"/>
          </w:tcPr>
          <w:p>
            <w:r>
              <w:rPr>
                <w:rFonts w:ascii="Calibri" w:hAnsi="Calibri"/>
                <w:sz w:val="22"/>
              </w:rPr>
              <w:t>—</w:t>
            </w:r>
          </w:p>
        </w:tc>
        <w:tc>
          <w:tcPr>
            <w:tcW w:type="dxa" w:w="1728"/>
          </w:tcPr>
          <w:p>
            <w:r>
              <w:rPr>
                <w:rFonts w:ascii="Calibri" w:hAnsi="Calibri"/>
                <w:sz w:val="22"/>
              </w:rPr>
              <w:t>~13.2% FY</w:t>
            </w:r>
          </w:p>
        </w:tc>
        <w:tc>
          <w:tcPr>
            <w:tcW w:type="dxa" w:w="1728"/>
          </w:tcPr>
          <w:p>
            <w:r>
              <w:rPr>
                <w:rFonts w:ascii="Calibri" w:hAnsi="Calibri"/>
                <w:sz w:val="22"/>
              </w:rPr>
              <w:t>Temporary Q1 pressure from debt pull-forward; recovery expected by YE</w:t>
            </w:r>
          </w:p>
        </w:tc>
      </w:tr>
      <w:tr>
        <w:tc>
          <w:tcPr>
            <w:tcW w:type="dxa" w:w="1728"/>
          </w:tcPr>
          <w:p>
            <w:r>
              <w:rPr>
                <w:rFonts w:ascii="Calibri" w:hAnsi="Calibri"/>
                <w:sz w:val="22"/>
              </w:rPr>
              <w:t>Ohio LDC Sale</w:t>
            </w:r>
          </w:p>
        </w:tc>
        <w:tc>
          <w:tcPr>
            <w:tcW w:type="dxa" w:w="1728"/>
          </w:tcPr>
          <w:p>
            <w:r>
              <w:rPr>
                <w:rFonts w:ascii="Calibri" w:hAnsi="Calibri"/>
                <w:sz w:val="22"/>
              </w:rPr>
              <w:t>On track to close Q4 2026</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No change</w:t>
            </w:r>
          </w:p>
        </w:tc>
      </w:tr>
      <w:tr>
        <w:tc>
          <w:tcPr>
            <w:tcW w:type="dxa" w:w="1728"/>
          </w:tcPr>
          <w:p>
            <w:r>
              <w:rPr>
                <w:rFonts w:ascii="Calibri" w:hAnsi="Calibri"/>
                <w:sz w:val="22"/>
              </w:rPr>
              <w:t>Indiana Large Load</w:t>
            </w:r>
          </w:p>
        </w:tc>
        <w:tc>
          <w:tcPr>
            <w:tcW w:type="dxa" w:w="1728"/>
          </w:tcPr>
          <w:p>
            <w:r>
              <w:rPr>
                <w:rFonts w:ascii="Calibri" w:hAnsi="Calibri"/>
                <w:sz w:val="22"/>
              </w:rPr>
              <w:t>~$1B incremental CapEx opportunity in 2027–2029</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Conversations progressing; no signed agreement yet</w:t>
            </w:r>
          </w:p>
        </w:tc>
      </w:tr>
      <w:tr>
        <w:tc>
          <w:tcPr>
            <w:tcW w:type="dxa" w:w="1728"/>
          </w:tcPr>
          <w:p>
            <w:r>
              <w:rPr>
                <w:rFonts w:ascii="Calibri" w:hAnsi="Calibri"/>
                <w:sz w:val="22"/>
              </w:rPr>
              <w:t>ATM Equity Program</w:t>
            </w:r>
          </w:p>
        </w:tc>
        <w:tc>
          <w:tcPr>
            <w:tcW w:type="dxa" w:w="1728"/>
          </w:tcPr>
          <w:p>
            <w:r>
              <w:rPr>
                <w:rFonts w:ascii="Calibri" w:hAnsi="Calibri"/>
                <w:sz w:val="22"/>
              </w:rPr>
              <w:t>—</w:t>
            </w:r>
          </w:p>
        </w:tc>
        <w:tc>
          <w:tcPr>
            <w:tcW w:type="dxa" w:w="1728"/>
          </w:tcPr>
          <w:p>
            <w:r>
              <w:rPr>
                <w:rFonts w:ascii="Calibri" w:hAnsi="Calibri"/>
                <w:sz w:val="22"/>
              </w:rPr>
              <w:t>$1B new ATM established May 15, 2026</w:t>
            </w:r>
          </w:p>
        </w:tc>
        <w:tc>
          <w:tcPr>
            <w:tcW w:type="dxa" w:w="1728"/>
          </w:tcPr>
          <w:p>
            <w:r>
              <w:rPr>
                <w:rFonts w:ascii="Calibri" w:hAnsi="Calibri"/>
                <w:sz w:val="22"/>
              </w:rPr>
              <w:t>—</w:t>
            </w:r>
          </w:p>
        </w:tc>
        <w:tc>
          <w:tcPr>
            <w:tcW w:type="dxa" w:w="1728"/>
          </w:tcPr>
          <w:p>
            <w:r>
              <w:rPr>
                <w:rFonts w:ascii="Calibri" w:hAnsi="Calibri"/>
                <w:sz w:val="22"/>
              </w:rPr>
              <w:t>↑ Replaced prior program (~$85M remaining); forward sales structure; proceeds for CapEx and CP repayment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drifted </w:t>
      </w:r>
      <w:r>
        <w:rPr>
          <w:rFonts w:ascii="Calibri" w:hAnsi="Calibri"/>
          <w:b/>
          <w:color w:val="525866"/>
          <w:sz w:val="22"/>
        </w:rPr>
        <w:t>slightly lower</w:t>
      </w:r>
      <w:r>
        <w:rPr>
          <w:rFonts w:ascii="Calibri" w:hAnsi="Calibri"/>
          <w:color w:val="525866"/>
          <w:sz w:val="22"/>
        </w:rPr>
        <w:t xml:space="preserve"> since Q1 earnings (Operating EPS -2.6%), while FY2026 consensus has been essentially flat (+0.1%), suggesting the street is comfortable with the guidance range but not pricing in upside. The gap between current FY2026 consensus ($1.91) and guidance midpoint ($1.90) is minimal — </w:t>
      </w:r>
      <w:r>
        <w:rPr>
          <w:rFonts w:ascii="Calibri" w:hAnsi="Calibri"/>
          <w:b/>
          <w:color w:val="525866"/>
          <w:sz w:val="22"/>
        </w:rPr>
        <w:t>no meaningful cushion or risk</w:t>
      </w:r>
      <w:r>
        <w:rPr>
          <w:rFonts w:ascii="Calibri" w:hAnsi="Calibri"/>
          <w:color w:val="525866"/>
          <w:sz w:val="22"/>
        </w:rPr>
        <w:t xml:space="preserve"> embedded in estimates.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(Apr 28, 2026 — 5 days post Q1)</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Operating EPS — Q2 2026</w:t>
            </w:r>
          </w:p>
        </w:tc>
        <w:tc>
          <w:tcPr>
            <w:tcW w:type="dxa" w:w="1080"/>
          </w:tcPr>
          <w:p>
            <w:r>
              <w:rPr>
                <w:rFonts w:ascii="Calibri" w:hAnsi="Calibri"/>
                <w:sz w:val="22"/>
              </w:rPr>
              <w:t>$0.388</w:t>
            </w:r>
          </w:p>
        </w:tc>
        <w:tc>
          <w:tcPr>
            <w:tcW w:type="dxa" w:w="1080"/>
          </w:tcPr>
          <w:p>
            <w:r>
              <w:rPr>
                <w:rFonts w:ascii="Calibri" w:hAnsi="Calibri"/>
                <w:sz w:val="22"/>
              </w:rPr>
              <w:t>$0.378</w:t>
            </w:r>
          </w:p>
        </w:tc>
        <w:tc>
          <w:tcPr>
            <w:tcW w:type="dxa" w:w="1080"/>
          </w:tcPr>
          <w:p>
            <w:r>
              <w:rPr>
                <w:rFonts w:ascii="Calibri" w:hAnsi="Calibri"/>
                <w:b/>
                <w:color w:val="E5484D"/>
                <w:sz w:val="22"/>
              </w:rPr>
              <w:t>-2.6%</w:t>
            </w:r>
          </w:p>
        </w:tc>
        <w:tc>
          <w:tcPr>
            <w:tcW w:type="dxa" w:w="1080"/>
          </w:tcPr>
          <w:p>
            <w:r>
              <w:rPr>
                <w:rFonts w:ascii="Calibri" w:hAnsi="Calibri"/>
                <w:sz w:val="22"/>
              </w:rPr>
              <w:t>N/A (quarterly)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$1.912</w:t>
            </w:r>
          </w:p>
        </w:tc>
        <w:tc>
          <w:tcPr>
            <w:tcW w:type="dxa" w:w="1080"/>
          </w:tcPr>
          <w:p>
            <w:r>
              <w:rPr>
                <w:rFonts w:ascii="Calibri" w:hAnsi="Calibri"/>
                <w:sz w:val="22"/>
              </w:rPr>
              <w:t>$1.913</w:t>
            </w:r>
          </w:p>
        </w:tc>
        <w:tc>
          <w:tcPr>
            <w:tcW w:type="dxa" w:w="1080"/>
          </w:tcPr>
          <w:p>
            <w:r>
              <w:rPr>
                <w:rFonts w:ascii="Calibri" w:hAnsi="Calibri"/>
                <w:sz w:val="22"/>
              </w:rPr>
              <w:t>+0.1%</w:t>
            </w:r>
          </w:p>
        </w:tc>
        <w:tc>
          <w:tcPr>
            <w:tcW w:type="dxa" w:w="1080"/>
          </w:tcPr>
          <w:p>
            <w:r>
              <w:rPr>
                <w:rFonts w:ascii="Calibri" w:hAnsi="Calibri"/>
                <w:sz w:val="22"/>
              </w:rPr>
              <w:t>$1.89–$1.91</w:t>
            </w:r>
          </w:p>
        </w:tc>
        <w:tc>
          <w:tcPr>
            <w:tcW w:type="dxa" w:w="1080"/>
          </w:tcPr>
          <w:p>
            <w:r>
              <w:rPr>
                <w:rFonts w:ascii="Calibri" w:hAnsi="Calibri"/>
                <w:sz w:val="22"/>
              </w:rPr>
              <w:t>$1.89–$1.91</w:t>
            </w:r>
          </w:p>
        </w:tc>
        <w:tc>
          <w:tcPr>
            <w:tcW w:type="dxa" w:w="1080"/>
          </w:tcPr>
          <w:p>
            <w:r>
              <w:rPr>
                <w:rFonts w:ascii="Calibri" w:hAnsi="Calibri"/>
                <w:sz w:val="22"/>
              </w:rPr>
              <w:t>Unchanged</w:t>
            </w:r>
          </w:p>
        </w:tc>
        <w:tc>
          <w:tcPr>
            <w:tcW w:type="dxa" w:w="1080"/>
          </w:tcPr>
          <w:p>
            <w:r>
              <w:rPr>
                <w:rFonts w:ascii="Calibri" w:hAnsi="Calibri"/>
                <w:sz w:val="22"/>
              </w:rPr>
              <w:t>+0.2% vs. midpoint</w:t>
            </w:r>
          </w:p>
        </w:tc>
      </w:tr>
      <w:tr>
        <w:tc>
          <w:tcPr>
            <w:tcW w:type="dxa" w:w="1080"/>
          </w:tcPr>
          <w:p>
            <w:r>
              <w:rPr>
                <w:rFonts w:ascii="Calibri" w:hAnsi="Calibri"/>
                <w:sz w:val="22"/>
              </w:rPr>
              <w:t>Operating EPS — FY2027</w:t>
            </w:r>
          </w:p>
        </w:tc>
        <w:tc>
          <w:tcPr>
            <w:tcW w:type="dxa" w:w="1080"/>
          </w:tcPr>
          <w:p>
            <w:r>
              <w:rPr>
                <w:rFonts w:ascii="Calibri" w:hAnsi="Calibri"/>
                <w:sz w:val="22"/>
              </w:rPr>
              <w:t>$2.085</w:t>
            </w:r>
          </w:p>
        </w:tc>
        <w:tc>
          <w:tcPr>
            <w:tcW w:type="dxa" w:w="1080"/>
          </w:tcPr>
          <w:p>
            <w:r>
              <w:rPr>
                <w:rFonts w:ascii="Calibri" w:hAnsi="Calibri"/>
                <w:sz w:val="22"/>
              </w:rPr>
              <w:t>$2.093</w:t>
            </w:r>
          </w:p>
        </w:tc>
        <w:tc>
          <w:tcPr>
            <w:tcW w:type="dxa" w:w="1080"/>
          </w:tcPr>
          <w:p>
            <w:r>
              <w:rPr>
                <w:rFonts w:ascii="Calibri" w:hAnsi="Calibri"/>
                <w:b/>
                <w:color w:val="30A46C"/>
                <w:sz w:val="22"/>
              </w:rPr>
              <w:t>+0.4%</w:t>
            </w:r>
          </w:p>
        </w:tc>
        <w:tc>
          <w:tcPr>
            <w:tcW w:type="dxa" w:w="1080"/>
          </w:tcPr>
          <w:p>
            <w:r>
              <w:rPr>
                <w:rFonts w:ascii="Calibri" w:hAnsi="Calibri"/>
                <w:sz w:val="22"/>
              </w:rPr>
              <w:t>7–9% growth</w:t>
            </w:r>
          </w:p>
        </w:tc>
        <w:tc>
          <w:tcPr>
            <w:tcW w:type="dxa" w:w="1080"/>
          </w:tcPr>
          <w:p>
            <w:r>
              <w:rPr>
                <w:rFonts w:ascii="Calibri" w:hAnsi="Calibri"/>
                <w:sz w:val="22"/>
              </w:rPr>
              <w:t>7–9% growth</w:t>
            </w:r>
          </w:p>
        </w:tc>
        <w:tc>
          <w:tcPr>
            <w:tcW w:type="dxa" w:w="1080"/>
          </w:tcPr>
          <w:p>
            <w:r>
              <w:rPr>
                <w:rFonts w:ascii="Calibri" w:hAnsi="Calibri"/>
                <w:sz w:val="22"/>
              </w:rPr>
              <w:t>Unchanged</w:t>
            </w:r>
          </w:p>
        </w:tc>
        <w:tc>
          <w:tcPr>
            <w:tcW w:type="dxa" w:w="1080"/>
          </w:tcPr>
          <w:p>
            <w:r>
              <w:rPr>
                <w:rFonts w:ascii="Calibri" w:hAnsi="Calibri"/>
                <w:sz w:val="22"/>
              </w:rPr>
              <w:t>Implies ~9.4% growth</w:t>
            </w:r>
          </w:p>
        </w:tc>
      </w:tr>
      <w:tr>
        <w:tc>
          <w:tcPr>
            <w:tcW w:type="dxa" w:w="1080"/>
          </w:tcPr>
          <w:p>
            <w:r>
              <w:rPr>
                <w:rFonts w:ascii="Calibri" w:hAnsi="Calibri"/>
                <w:sz w:val="22"/>
              </w:rPr>
              <w:t>Total Revenue — Q2 2026</w:t>
            </w:r>
          </w:p>
        </w:tc>
        <w:tc>
          <w:tcPr>
            <w:tcW w:type="dxa" w:w="1080"/>
          </w:tcPr>
          <w:p>
            <w:r>
              <w:rPr>
                <w:rFonts w:ascii="Calibri" w:hAnsi="Calibri"/>
                <w:sz w:val="22"/>
              </w:rPr>
              <w:t>$2.419B</w:t>
            </w:r>
          </w:p>
        </w:tc>
        <w:tc>
          <w:tcPr>
            <w:tcW w:type="dxa" w:w="1080"/>
          </w:tcPr>
          <w:p>
            <w:r>
              <w:rPr>
                <w:rFonts w:ascii="Calibri" w:hAnsi="Calibri"/>
                <w:sz w:val="22"/>
              </w:rPr>
              <w:t>$2.249B</w:t>
            </w:r>
          </w:p>
        </w:tc>
        <w:tc>
          <w:tcPr>
            <w:tcW w:type="dxa" w:w="1080"/>
          </w:tcPr>
          <w:p>
            <w:r>
              <w:rPr>
                <w:rFonts w:ascii="Calibri" w:hAnsi="Calibri"/>
                <w:b/>
                <w:color w:val="E5484D"/>
                <w:sz w:val="22"/>
              </w:rPr>
              <w:t>-7.0%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$9.874B</w:t>
            </w:r>
          </w:p>
        </w:tc>
        <w:tc>
          <w:tcPr>
            <w:tcW w:type="dxa" w:w="1080"/>
          </w:tcPr>
          <w:p>
            <w:r>
              <w:rPr>
                <w:rFonts w:ascii="Calibri" w:hAnsi="Calibri"/>
                <w:sz w:val="22"/>
              </w:rPr>
              <w:t>$9.911B</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Capital Additions — Q2 2026</w:t>
            </w:r>
          </w:p>
        </w:tc>
        <w:tc>
          <w:tcPr>
            <w:tcW w:type="dxa" w:w="1080"/>
          </w:tcPr>
          <w:p>
            <w:r>
              <w:rPr>
                <w:rFonts w:ascii="Calibri" w:hAnsi="Calibri"/>
                <w:sz w:val="22"/>
              </w:rPr>
              <w:t>$1.751B</w:t>
            </w:r>
          </w:p>
        </w:tc>
        <w:tc>
          <w:tcPr>
            <w:tcW w:type="dxa" w:w="1080"/>
          </w:tcPr>
          <w:p>
            <w:r>
              <w:rPr>
                <w:rFonts w:ascii="Calibri" w:hAnsi="Calibri"/>
                <w:sz w:val="22"/>
              </w:rPr>
              <w:t>$1.761B</w:t>
            </w:r>
          </w:p>
        </w:tc>
        <w:tc>
          <w:tcPr>
            <w:tcW w:type="dxa" w:w="1080"/>
          </w:tcPr>
          <w:p>
            <w:r>
              <w:rPr>
                <w:rFonts w:ascii="Calibri" w:hAnsi="Calibri"/>
                <w:sz w:val="22"/>
              </w:rPr>
              <w:t>+0.6%</w:t>
            </w:r>
          </w:p>
        </w:tc>
        <w:tc>
          <w:tcPr>
            <w:tcW w:type="dxa" w:w="1080"/>
          </w:tcPr>
          <w:p>
            <w:r>
              <w:rPr>
                <w:rFonts w:ascii="Calibri" w:hAnsi="Calibri"/>
                <w:sz w:val="22"/>
              </w:rPr>
              <w:t>~$6.8B FY</w:t>
            </w:r>
          </w:p>
        </w:tc>
        <w:tc>
          <w:tcPr>
            <w:tcW w:type="dxa" w:w="1080"/>
          </w:tcPr>
          <w:p>
            <w:r>
              <w:rPr>
                <w:rFonts w:ascii="Calibri" w:hAnsi="Calibri"/>
                <w:sz w:val="22"/>
              </w:rPr>
              <w:t>~$6.8B FY</w:t>
            </w:r>
          </w:p>
        </w:tc>
        <w:tc>
          <w:tcPr>
            <w:tcW w:type="dxa" w:w="1080"/>
          </w:tcPr>
          <w:p>
            <w:r>
              <w:rPr>
                <w:rFonts w:ascii="Calibri" w:hAnsi="Calibri"/>
                <w:sz w:val="22"/>
              </w:rPr>
              <w:t>Unchanged</w:t>
            </w:r>
          </w:p>
        </w:tc>
        <w:tc>
          <w:tcPr>
            <w:tcW w:type="dxa" w:w="1080"/>
          </w:tcPr>
          <w:p>
            <w:r>
              <w:rPr>
                <w:rFonts w:ascii="Calibri" w:hAnsi="Calibri"/>
                <w:sz w:val="22"/>
              </w:rPr>
              <w:t>Tracking</w:t>
            </w:r>
          </w:p>
        </w:tc>
      </w:tr>
      <w:tr>
        <w:tc>
          <w:tcPr>
            <w:tcW w:type="dxa" w:w="1080"/>
          </w:tcPr>
          <w:p>
            <w:r>
              <w:rPr>
                <w:rFonts w:ascii="Calibri" w:hAnsi="Calibri"/>
                <w:sz w:val="22"/>
              </w:rPr>
              <w:t>Capital Additions — FY2026</w:t>
            </w:r>
          </w:p>
        </w:tc>
        <w:tc>
          <w:tcPr>
            <w:tcW w:type="dxa" w:w="1080"/>
          </w:tcPr>
          <w:p>
            <w:r>
              <w:rPr>
                <w:rFonts w:ascii="Calibri" w:hAnsi="Calibri"/>
                <w:sz w:val="22"/>
              </w:rPr>
              <w:t>$6.739B</w:t>
            </w:r>
          </w:p>
        </w:tc>
        <w:tc>
          <w:tcPr>
            <w:tcW w:type="dxa" w:w="1080"/>
          </w:tcPr>
          <w:p>
            <w:r>
              <w:rPr>
                <w:rFonts w:ascii="Calibri" w:hAnsi="Calibri"/>
                <w:sz w:val="22"/>
              </w:rPr>
              <w:t>$6.699B</w:t>
            </w:r>
          </w:p>
        </w:tc>
        <w:tc>
          <w:tcPr>
            <w:tcW w:type="dxa" w:w="1080"/>
          </w:tcPr>
          <w:p>
            <w:r>
              <w:rPr>
                <w:rFonts w:ascii="Calibri" w:hAnsi="Calibri"/>
                <w:sz w:val="22"/>
              </w:rPr>
              <w:t>-0.6%</w:t>
            </w:r>
          </w:p>
        </w:tc>
        <w:tc>
          <w:tcPr>
            <w:tcW w:type="dxa" w:w="1080"/>
          </w:tcPr>
          <w:p>
            <w:r>
              <w:rPr>
                <w:rFonts w:ascii="Calibri" w:hAnsi="Calibri"/>
                <w:sz w:val="22"/>
              </w:rPr>
              <w:t>~$6.8B FY</w:t>
            </w:r>
          </w:p>
        </w:tc>
        <w:tc>
          <w:tcPr>
            <w:tcW w:type="dxa" w:w="1080"/>
          </w:tcPr>
          <w:p>
            <w:r>
              <w:rPr>
                <w:rFonts w:ascii="Calibri" w:hAnsi="Calibri"/>
                <w:sz w:val="22"/>
              </w:rPr>
              <w:t>~$6.8B FY</w:t>
            </w:r>
          </w:p>
        </w:tc>
        <w:tc>
          <w:tcPr>
            <w:tcW w:type="dxa" w:w="1080"/>
          </w:tcPr>
          <w:p>
            <w:r>
              <w:rPr>
                <w:rFonts w:ascii="Calibri" w:hAnsi="Calibri"/>
                <w:sz w:val="22"/>
              </w:rPr>
              <w:t>Unchanged</w:t>
            </w:r>
          </w:p>
        </w:tc>
        <w:tc>
          <w:tcPr>
            <w:tcW w:type="dxa" w:w="1080"/>
          </w:tcPr>
          <w:p>
            <w:r>
              <w:rPr>
                <w:rFonts w:ascii="Calibri" w:hAnsi="Calibri"/>
                <w:sz w:val="22"/>
              </w:rPr>
              <w:t>-1.5% below guidance</w:t>
            </w:r>
          </w:p>
        </w:tc>
      </w:tr>
    </w:tbl>
    <w:p>
      <w:r>
        <w:rPr>
          <w:rFonts w:ascii="Calibri" w:hAnsi="Calibri"/>
          <w:i/>
          <w:color w:val="525866"/>
          <w:sz w:val="22"/>
        </w:rPr>
        <w:t xml:space="preserve">Note: </w:t>
      </w:r>
      <w:r>
        <w:rPr>
          <w:rFonts w:ascii="Calibri" w:hAnsi="Calibri"/>
          <w:i/>
          <w:color w:val="525866"/>
          <w:sz w:val="22"/>
        </w:rPr>
        <w:t>All figures from Visible Alpha. Q2 2026 revenue consensus has declined ~7% since Q1 earnings, likely reflecting updated weather normalization assumptions; EPS impact is more muted given tracker recovery mechanisms covering ~85% of capex.</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CNP has </w:t>
      </w:r>
      <w:r>
        <w:rPr>
          <w:rFonts w:ascii="Calibri" w:hAnsi="Calibri"/>
          <w:b/>
          <w:color w:val="525866"/>
          <w:sz w:val="22"/>
        </w:rPr>
        <w:t>modestly outperformed XLU (+2.8% relative)</w:t>
      </w:r>
      <w:r>
        <w:rPr>
          <w:rFonts w:ascii="Calibri" w:hAnsi="Calibri"/>
          <w:color w:val="525866"/>
          <w:sz w:val="22"/>
        </w:rPr>
        <w:t xml:space="preserve"> since Q1 2026 earnings, driven by continued enthusiasm for the Texas load growth narrative; however, the stock has pulled back from a late-June peak (~$45) and is essentially flat on an absolute basis (+1.9%), suggesting the market is in a “show me” mode ahead of Q2 results.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CNP vs. XLU Utilities ETF — Indexed to 100 at Q1 2026 Earnings (Apr 23, 2026). Source: Yahoo Finance.</w:t>
      </w:r>
    </w:p>
    <w:p>
      <w:pPr>
        <w:pStyle w:val="ListBullet"/>
        <w:ind w:left="360" w:hanging="360"/>
      </w:pPr>
      <w:r>
        <w:rPr>
          <w:rFonts w:ascii="Calibri" w:hAnsi="Calibri"/>
          <w:b/>
          <w:color w:val="525866"/>
          <w:sz w:val="22"/>
        </w:rPr>
        <w:t xml:space="preserve">CNP: </w:t>
      </w:r>
      <w:r>
        <w:rPr>
          <w:rFonts w:ascii="Calibri" w:hAnsi="Calibri"/>
          <w:color w:val="525866"/>
          <w:sz w:val="22"/>
        </w:rPr>
        <w:t>+1.9% since Q1 earnings (Apr 23 close $43.18 → Jul 24 close $44.56)</w:t>
      </w:r>
    </w:p>
    <w:p>
      <w:pPr>
        <w:pStyle w:val="ListBullet"/>
        <w:ind w:left="360" w:hanging="360"/>
      </w:pPr>
      <w:r>
        <w:rPr>
          <w:rFonts w:ascii="Calibri" w:hAnsi="Calibri"/>
          <w:b/>
          <w:color w:val="525866"/>
          <w:sz w:val="22"/>
        </w:rPr>
        <w:t xml:space="preserve">XLU: </w:t>
      </w:r>
      <w:r>
        <w:rPr>
          <w:rFonts w:ascii="Calibri" w:hAnsi="Calibri"/>
          <w:color w:val="525866"/>
          <w:sz w:val="22"/>
        </w:rPr>
        <w:t>-0.9% since Q1 earnings (Apr 23 close $46.09 → Jul 24 close $46.29)</w:t>
      </w:r>
    </w:p>
    <w:p>
      <w:pPr>
        <w:pStyle w:val="ListBullet"/>
        <w:ind w:left="360" w:hanging="360"/>
      </w:pPr>
      <w:r>
        <w:rPr>
          <w:rFonts w:ascii="Calibri" w:hAnsi="Calibri"/>
          <w:b/>
          <w:color w:val="525866"/>
          <w:sz w:val="22"/>
        </w:rPr>
        <w:t xml:space="preserve">Relative outperformance: </w:t>
      </w:r>
      <w:r>
        <w:rPr>
          <w:rFonts w:ascii="Calibri" w:hAnsi="Calibri"/>
          <w:color w:val="525866"/>
          <w:sz w:val="22"/>
        </w:rPr>
        <w:t>~+2.8% vs. XLU</w:t>
      </w:r>
    </w:p>
    <w:p>
      <w:pPr>
        <w:pStyle w:val="ListBullet"/>
        <w:ind w:left="360" w:hanging="360"/>
      </w:pPr>
      <w:r>
        <w:rPr>
          <w:rFonts w:ascii="Calibri" w:hAnsi="Calibri"/>
          <w:b/>
          <w:color w:val="525866"/>
          <w:sz w:val="22"/>
        </w:rPr>
        <w:t xml:space="preserve">Peak: </w:t>
      </w:r>
      <w:r>
        <w:rPr>
          <w:rFonts w:ascii="Calibri" w:hAnsi="Calibri"/>
          <w:color w:val="525866"/>
          <w:sz w:val="22"/>
        </w:rPr>
        <w:t>CNP reached ~$45.04 on June 26, 2026 before pulling back</w:t>
      </w:r>
    </w:p>
    <w:p>
      <w:pPr>
        <w:pStyle w:val="ListBullet"/>
        <w:ind w:left="360" w:hanging="360"/>
      </w:pPr>
      <w:r>
        <w:rPr>
          <w:rFonts w:ascii="Calibri" w:hAnsi="Calibri"/>
          <w:b/>
          <w:color w:val="525866"/>
          <w:sz w:val="22"/>
        </w:rPr>
        <w:t xml:space="preserve">ATM Impact: </w:t>
      </w:r>
      <w:r>
        <w:rPr>
          <w:rFonts w:ascii="Calibri" w:hAnsi="Calibri"/>
          <w:color w:val="525866"/>
          <w:sz w:val="22"/>
        </w:rPr>
        <w:t>The $1B ATM program announcement on May 15 caused a brief ~2.7% pullback ($43.53 → $42.33) but the stock recovered within weeks, consistent with the market viewing the program as financing-plan derisking rather than a dilution signal</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post-Q1 development is the establishment of a new </w:t>
      </w:r>
      <w:r>
        <w:rPr>
          <w:rFonts w:ascii="Calibri" w:hAnsi="Calibri"/>
          <w:b/>
          <w:color w:val="525866"/>
          <w:sz w:val="22"/>
        </w:rPr>
        <w:t>$1B ATM equity program on May 15, 2026</w:t>
      </w:r>
      <w:r>
        <w:rPr>
          <w:rFonts w:ascii="Calibri" w:hAnsi="Calibri"/>
          <w:color w:val="525866"/>
          <w:sz w:val="22"/>
        </w:rPr>
        <w:t xml:space="preserve">, which modestly surprised the market but is consistent with CNP’s strategy of derisking its financing plan. The Q2 2026 earnings call is scheduled for </w:t>
      </w:r>
      <w:r>
        <w:rPr>
          <w:rFonts w:ascii="Calibri" w:hAnsi="Calibri"/>
          <w:b/>
          <w:color w:val="525866"/>
          <w:sz w:val="22"/>
        </w:rPr>
        <w:t>July 28, 2026</w:t>
      </w:r>
      <w:r>
        <w:rPr>
          <w:rFonts w:ascii="Calibri" w:hAnsi="Calibri"/>
          <w:color w:val="525866"/>
          <w:sz w:val="22"/>
        </w:rPr>
        <w:t>.</w:t>
      </w:r>
    </w:p>
    <w:p>
      <w:pPr>
        <w:pStyle w:val="ListBullet"/>
        <w:ind w:left="360" w:hanging="360"/>
      </w:pPr>
      <w:r>
        <w:rPr>
          <w:rFonts w:ascii="Calibri" w:hAnsi="Calibri"/>
          <w:b/>
          <w:color w:val="525866"/>
          <w:sz w:val="22"/>
        </w:rPr>
        <w:t>July 7, 2026 — Q2 2026 Earnings Call Scheduled for July 28, 2026:</w:t>
      </w:r>
      <w:r>
        <w:rPr>
          <w:rFonts w:ascii="Calibri" w:hAnsi="Calibri"/>
          <w:color w:val="525866"/>
          <w:sz w:val="22"/>
        </w:rPr>
        <w:t xml:space="preserve"> CenterPoint announced it will host a webcast of its Q2 2026 earnings conference call on July 28, 2026. This is the primary upcoming catalyst.</w:t>
      </w:r>
    </w:p>
    <w:p>
      <w:pPr>
        <w:pStyle w:val="ListBullet"/>
        <w:ind w:left="360" w:hanging="360"/>
      </w:pPr>
      <w:r>
        <w:rPr>
          <w:rFonts w:ascii="Calibri" w:hAnsi="Calibri"/>
          <w:b/>
          <w:color w:val="525866"/>
          <w:sz w:val="22"/>
        </w:rPr>
        <w:t>May 15, 2026 — $1 Billion ATM Equity Program Established:</w:t>
      </w:r>
      <w:r>
        <w:rPr>
          <w:rFonts w:ascii="Calibri" w:hAnsi="Calibri"/>
          <w:color w:val="525866"/>
          <w:sz w:val="22"/>
        </w:rPr>
        <w:t xml:space="preserve"> CNP entered into a new Equity Distribution Agreement with a consortium of 16 banks, replacing its prior ATM program (which had ~$84.9M remaining). The new program allows for up to $1B in common stock sales through May 2029, including forward sale agreements. Proceeds designated for CapEx programs and commercial paper repayment. </w:t>
      </w:r>
      <w:r>
        <w:rPr>
          <w:rFonts w:ascii="Calibri" w:hAnsi="Calibri"/>
          <w:i/>
          <w:color w:val="525866"/>
          <w:sz w:val="22"/>
        </w:rPr>
        <w:t>Implication:</w:t>
      </w:r>
      <w:r>
        <w:rPr>
          <w:rFonts w:ascii="Calibri" w:hAnsi="Calibri"/>
          <w:color w:val="525866"/>
          <w:sz w:val="22"/>
        </w:rPr>
        <w:t xml:space="preserve"> Provides incremental financing flexibility for the $65.5B+ capital plan without a large equity offering; the forward sale structure allows CNP to lock in pricing while deferring dilution.</w:t>
      </w:r>
    </w:p>
    <w:p>
      <w:pPr>
        <w:pStyle w:val="ListBullet"/>
        <w:ind w:left="360" w:hanging="360"/>
      </w:pPr>
      <w:r>
        <w:rPr>
          <w:rFonts w:ascii="Calibri" w:hAnsi="Calibri"/>
          <w:b/>
          <w:color w:val="525866"/>
          <w:sz w:val="22"/>
        </w:rPr>
        <w:t>Q1 2026 Earnings (Apr 23, 2026) — Load Growth Acceleration:</w:t>
      </w:r>
      <w:r>
        <w:rPr>
          <w:rFonts w:ascii="Calibri" w:hAnsi="Calibri"/>
          <w:color w:val="525866"/>
          <w:sz w:val="22"/>
        </w:rPr>
        <w:t xml:space="preserve"> Firmly committed Houston Electric industrial load increased to </w:t>
      </w:r>
      <w:r>
        <w:rPr>
          <w:rFonts w:ascii="Calibri" w:hAnsi="Calibri"/>
          <w:b/>
          <w:color w:val="525866"/>
          <w:sz w:val="22"/>
        </w:rPr>
        <w:t>12.2 GW</w:t>
      </w:r>
      <w:r>
        <w:rPr>
          <w:rFonts w:ascii="Calibri" w:hAnsi="Calibri"/>
          <w:color w:val="525866"/>
          <w:sz w:val="22"/>
        </w:rPr>
        <w:t xml:space="preserve"> (from 7.5 GW prior quarter), with ~8 GW expected energized by 2029. ERCOT approved 3.2 GW (2.5 GW approved since last call). Remaining ~9 GW to be submitted to ERCOT within weeks. </w:t>
      </w:r>
      <w:r>
        <w:rPr>
          <w:rFonts w:ascii="Calibri" w:hAnsi="Calibri"/>
          <w:i/>
          <w:color w:val="525866"/>
          <w:sz w:val="22"/>
        </w:rPr>
        <w:t>Implication:</w:t>
      </w:r>
      <w:r>
        <w:rPr>
          <w:rFonts w:ascii="Calibri" w:hAnsi="Calibri"/>
          <w:color w:val="525866"/>
          <w:sz w:val="22"/>
        </w:rPr>
        <w:t xml:space="preserve"> Any update on ERCOT approval progress for the remaining 9 GW will be a key focus on the Q2 call.</w:t>
      </w:r>
    </w:p>
    <w:p>
      <w:pPr>
        <w:pStyle w:val="ListBullet"/>
        <w:ind w:left="360" w:hanging="360"/>
      </w:pPr>
      <w:r>
        <w:rPr>
          <w:rFonts w:ascii="Calibri" w:hAnsi="Calibri"/>
          <w:b/>
          <w:color w:val="525866"/>
          <w:sz w:val="22"/>
        </w:rPr>
        <w:t>Q1 2026 Earnings (Apr 23, 2026) — Indiana Electric Large Load Opportunity:</w:t>
      </w:r>
      <w:r>
        <w:rPr>
          <w:rFonts w:ascii="Calibri" w:hAnsi="Calibri"/>
          <w:color w:val="525866"/>
          <w:sz w:val="22"/>
        </w:rPr>
        <w:t xml:space="preserve"> Management disclosed a </w:t>
      </w:r>
      <w:r>
        <w:rPr>
          <w:rFonts w:ascii="Calibri" w:hAnsi="Calibri"/>
          <w:b/>
          <w:color w:val="525866"/>
          <w:sz w:val="22"/>
        </w:rPr>
        <w:t>~$1B incremental CapEx opportunity (2027–2029)</w:t>
      </w:r>
      <w:r>
        <w:rPr>
          <w:rFonts w:ascii="Calibri" w:hAnsi="Calibri"/>
          <w:color w:val="525866"/>
          <w:sz w:val="22"/>
        </w:rPr>
        <w:t xml:space="preserve"> tied to a single large load customer — converting a simple-cycle plant to combined-cycle and adding transmission. Conversations described as “considerable progress.” </w:t>
      </w:r>
      <w:r>
        <w:rPr>
          <w:rFonts w:ascii="Calibri" w:hAnsi="Calibri"/>
          <w:i/>
          <w:color w:val="525866"/>
          <w:sz w:val="22"/>
        </w:rPr>
        <w:t>Implication:</w:t>
      </w:r>
      <w:r>
        <w:rPr>
          <w:rFonts w:ascii="Calibri" w:hAnsi="Calibri"/>
          <w:color w:val="525866"/>
          <w:sz w:val="22"/>
        </w:rPr>
        <w:t xml:space="preserve"> A signed agreement or further specifics on the Q2 call would be a meaningful positive catalyst.</w:t>
      </w:r>
    </w:p>
    <w:p>
      <w:pPr>
        <w:pStyle w:val="ListBullet"/>
        <w:ind w:left="360" w:hanging="360"/>
      </w:pPr>
      <w:r>
        <w:rPr>
          <w:rFonts w:ascii="Calibri" w:hAnsi="Calibri"/>
          <w:b/>
          <w:color w:val="525866"/>
          <w:sz w:val="22"/>
        </w:rPr>
        <w:t>Q1 2026 Earnings (Apr 23, 2026) — Financing Plan Derisked:</w:t>
      </w:r>
      <w:r>
        <w:rPr>
          <w:rFonts w:ascii="Calibri" w:hAnsi="Calibri"/>
          <w:color w:val="525866"/>
          <w:sz w:val="22"/>
        </w:rPr>
        <w:t xml:space="preserve"> ~70% of 2026 financing needs completed as of Q1; commercial paper balance at parent was $0 (vs. ~$1B normal average). Corporate AMT guidance change eliminates ~$150M/year cash tax burden; refund of prior paid taxes expected later in 2026. </w:t>
      </w:r>
      <w:r>
        <w:rPr>
          <w:rFonts w:ascii="Calibri" w:hAnsi="Calibri"/>
          <w:i/>
          <w:color w:val="525866"/>
          <w:sz w:val="22"/>
        </w:rPr>
        <w:t>Implication:</w:t>
      </w:r>
      <w:r>
        <w:rPr>
          <w:rFonts w:ascii="Calibri" w:hAnsi="Calibri"/>
          <w:color w:val="525866"/>
          <w:sz w:val="22"/>
        </w:rPr>
        <w:t xml:space="preserve"> Credit metric recovery trajectory is on track; watch for any update on the tax refund timing.</w:t>
      </w:r>
    </w:p>
    <w:p>
      <w:pPr>
        <w:pStyle w:val="ListBullet"/>
        <w:ind w:left="360" w:hanging="360"/>
      </w:pPr>
      <w:r>
        <w:rPr>
          <w:rFonts w:ascii="Calibri" w:hAnsi="Calibri"/>
          <w:b/>
          <w:color w:val="525866"/>
          <w:sz w:val="22"/>
        </w:rPr>
        <w:t>Transmission Planning Study (H2 2026 Expected):</w:t>
      </w:r>
      <w:r>
        <w:rPr>
          <w:rFonts w:ascii="Calibri" w:hAnsi="Calibri"/>
          <w:color w:val="525866"/>
          <w:sz w:val="22"/>
        </w:rPr>
        <w:t xml:space="preserve"> Management indicated a refresh load study to inform transmission planning is expected to be completed in H2 2026. This could unlock significant new transmission project announcements (potential capacity gap in 2029–2031 before 765kV projects come online). </w:t>
      </w:r>
      <w:r>
        <w:rPr>
          <w:rFonts w:ascii="Calibri" w:hAnsi="Calibri"/>
          <w:i/>
          <w:color w:val="525866"/>
          <w:sz w:val="22"/>
        </w:rPr>
        <w:t>Implication:</w:t>
      </w:r>
      <w:r>
        <w:rPr>
          <w:rFonts w:ascii="Calibri" w:hAnsi="Calibri"/>
          <w:color w:val="525866"/>
          <w:sz w:val="22"/>
        </w:rPr>
        <w:t xml:space="preserve"> This is the single largest potential upside catalyst to the base capital plan.</w:t>
      </w:r>
    </w:p>
    <w:p>
      <w:pPr>
        <w:pStyle w:val="ListBullet"/>
        <w:ind w:left="360" w:hanging="360"/>
      </w:pPr>
      <w:r>
        <w:rPr>
          <w:rFonts w:ascii="Calibri" w:hAnsi="Calibri"/>
          <w:b/>
          <w:color w:val="525866"/>
          <w:sz w:val="22"/>
        </w:rPr>
        <w:t>No Analyst Rating Changes Identified:</w:t>
      </w:r>
      <w:r>
        <w:rPr>
          <w:rFonts w:ascii="Calibri" w:hAnsi="Calibri"/>
          <w:color w:val="525866"/>
          <w:sz w:val="22"/>
        </w:rPr>
        <w:t xml:space="preserve"> No upgrades or downgrades were identified in the post-Q1 period through July 27, 2026.</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were identified in the post-Q1 period. The only transactions were routine </w:t>
      </w:r>
      <w:r>
        <w:rPr>
          <w:rFonts w:ascii="Calibri" w:hAnsi="Calibri"/>
          <w:b/>
          <w:color w:val="525866"/>
          <w:sz w:val="22"/>
        </w:rPr>
        <w:t>director equity award grants</w:t>
      </w:r>
      <w:r>
        <w:rPr>
          <w:rFonts w:ascii="Calibri" w:hAnsi="Calibri"/>
          <w:color w:val="525866"/>
          <w:sz w:val="22"/>
        </w:rPr>
        <w:t xml:space="preserve"> and a single </w:t>
      </w:r>
      <w:r>
        <w:rPr>
          <w:rFonts w:ascii="Calibri" w:hAnsi="Calibri"/>
          <w:b/>
          <w:color w:val="525866"/>
          <w:sz w:val="22"/>
        </w:rPr>
        <w:t>tax withholding share surrender by the CFO</w:t>
      </w:r>
      <w:r>
        <w:rPr>
          <w:rFonts w:ascii="Calibri" w:hAnsi="Calibri"/>
          <w:color w:val="525866"/>
          <w:sz w:val="22"/>
        </w:rPr>
        <w:t xml:space="preserve"> — neither signals a directional view. Insider activity is neutral.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Effective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Foster, Christopher A.</w:t>
            </w:r>
          </w:p>
        </w:tc>
        <w:tc>
          <w:tcPr>
            <w:tcW w:type="dxa" w:w="1234"/>
          </w:tcPr>
          <w:p>
            <w:r>
              <w:rPr>
                <w:rFonts w:ascii="Calibri" w:hAnsi="Calibri"/>
                <w:sz w:val="22"/>
              </w:rPr>
              <w:t>EVP &amp; CFO</w:t>
            </w:r>
          </w:p>
        </w:tc>
        <w:tc>
          <w:tcPr>
            <w:tcW w:type="dxa" w:w="1234"/>
          </w:tcPr>
          <w:p>
            <w:r>
              <w:rPr>
                <w:rFonts w:ascii="Calibri" w:hAnsi="Calibri"/>
                <w:sz w:val="22"/>
              </w:rPr>
              <w:t>Tax Withholding (F)</w:t>
            </w:r>
          </w:p>
        </w:tc>
        <w:tc>
          <w:tcPr>
            <w:tcW w:type="dxa" w:w="1234"/>
          </w:tcPr>
          <w:p>
            <w:r>
              <w:rPr>
                <w:rFonts w:ascii="Calibri" w:hAnsi="Calibri"/>
                <w:sz w:val="22"/>
              </w:rPr>
              <w:t>5,867 surrendered</w:t>
            </w:r>
          </w:p>
        </w:tc>
        <w:tc>
          <w:tcPr>
            <w:tcW w:type="dxa" w:w="1234"/>
          </w:tcPr>
          <w:p>
            <w:r>
              <w:rPr>
                <w:rFonts w:ascii="Calibri" w:hAnsi="Calibri"/>
                <w:sz w:val="22"/>
              </w:rPr>
              <w:t>~$248K</w:t>
            </w:r>
          </w:p>
        </w:tc>
        <w:tc>
          <w:tcPr>
            <w:tcW w:type="dxa" w:w="1234"/>
          </w:tcPr>
          <w:p>
            <w:r>
              <w:rPr>
                <w:rFonts w:ascii="Calibri" w:hAnsi="Calibri"/>
                <w:sz w:val="22"/>
              </w:rPr>
              <w:t>May 5, 2026</w:t>
            </w:r>
          </w:p>
        </w:tc>
        <w:tc>
          <w:tcPr>
            <w:tcW w:type="dxa" w:w="1234"/>
          </w:tcPr>
          <w:p>
            <w:r>
              <w:rPr>
                <w:rFonts w:ascii="Calibri" w:hAnsi="Calibri"/>
                <w:sz w:val="22"/>
              </w:rPr>
              <w:t>Shares withheld for tax on vesting; not a discretionary sale</w:t>
            </w:r>
          </w:p>
        </w:tc>
      </w:tr>
      <w:tr>
        <w:tc>
          <w:tcPr>
            <w:tcW w:type="dxa" w:w="1234"/>
          </w:tcPr>
          <w:p>
            <w:r>
              <w:rPr>
                <w:rFonts w:ascii="Calibri" w:hAnsi="Calibri"/>
                <w:sz w:val="22"/>
              </w:rPr>
              <w:t>Cloonan, Wendolynn M.</w:t>
            </w:r>
          </w:p>
        </w:tc>
        <w:tc>
          <w:tcPr>
            <w:tcW w:type="dxa" w:w="1234"/>
          </w:tcPr>
          <w:p>
            <w:r>
              <w:rPr>
                <w:rFonts w:ascii="Calibri" w:hAnsi="Calibri"/>
                <w:sz w:val="22"/>
              </w:rPr>
              <w:t>Director</w:t>
            </w:r>
          </w:p>
        </w:tc>
        <w:tc>
          <w:tcPr>
            <w:tcW w:type="dxa" w:w="1234"/>
          </w:tcPr>
          <w:p>
            <w:r>
              <w:rPr>
                <w:rFonts w:ascii="Calibri" w:hAnsi="Calibri"/>
                <w:sz w:val="22"/>
              </w:rPr>
              <w:t>Equity Award Grant (A)</w:t>
            </w:r>
          </w:p>
        </w:tc>
        <w:tc>
          <w:tcPr>
            <w:tcW w:type="dxa" w:w="1234"/>
          </w:tcPr>
          <w:p>
            <w:r>
              <w:rPr>
                <w:rFonts w:ascii="Calibri" w:hAnsi="Calibri"/>
                <w:sz w:val="22"/>
              </w:rPr>
              <w:t>4,037</w:t>
            </w:r>
          </w:p>
        </w:tc>
        <w:tc>
          <w:tcPr>
            <w:tcW w:type="dxa" w:w="1234"/>
          </w:tcPr>
          <w:p>
            <w:r>
              <w:rPr>
                <w:rFonts w:ascii="Calibri" w:hAnsi="Calibri"/>
                <w:sz w:val="22"/>
              </w:rPr>
              <w:t>~$171K</w:t>
            </w:r>
          </w:p>
        </w:tc>
        <w:tc>
          <w:tcPr>
            <w:tcW w:type="dxa" w:w="1234"/>
          </w:tcPr>
          <w:p>
            <w:r>
              <w:rPr>
                <w:rFonts w:ascii="Calibri" w:hAnsi="Calibri"/>
                <w:sz w:val="22"/>
              </w:rPr>
              <w:t>May 1, 2026</w:t>
            </w:r>
          </w:p>
        </w:tc>
        <w:tc>
          <w:tcPr>
            <w:tcW w:type="dxa" w:w="1234"/>
          </w:tcPr>
          <w:p>
            <w:r>
              <w:rPr>
                <w:rFonts w:ascii="Calibri" w:hAnsi="Calibri"/>
                <w:sz w:val="22"/>
              </w:rPr>
              <w:t>Routine annual director compensation grant</w:t>
            </w:r>
          </w:p>
        </w:tc>
      </w:tr>
      <w:tr>
        <w:tc>
          <w:tcPr>
            <w:tcW w:type="dxa" w:w="1234"/>
          </w:tcPr>
          <w:p>
            <w:r>
              <w:rPr>
                <w:rFonts w:ascii="Calibri" w:hAnsi="Calibri"/>
                <w:sz w:val="22"/>
              </w:rPr>
              <w:t>Duganier, Barbara J.</w:t>
            </w:r>
          </w:p>
        </w:tc>
        <w:tc>
          <w:tcPr>
            <w:tcW w:type="dxa" w:w="1234"/>
          </w:tcPr>
          <w:p>
            <w:r>
              <w:rPr>
                <w:rFonts w:ascii="Calibri" w:hAnsi="Calibri"/>
                <w:sz w:val="22"/>
              </w:rPr>
              <w:t>Director</w:t>
            </w:r>
          </w:p>
        </w:tc>
        <w:tc>
          <w:tcPr>
            <w:tcW w:type="dxa" w:w="1234"/>
          </w:tcPr>
          <w:p>
            <w:r>
              <w:rPr>
                <w:rFonts w:ascii="Calibri" w:hAnsi="Calibri"/>
                <w:sz w:val="22"/>
              </w:rPr>
              <w:t>Equity Award Grant (A)</w:t>
            </w:r>
          </w:p>
        </w:tc>
        <w:tc>
          <w:tcPr>
            <w:tcW w:type="dxa" w:w="1234"/>
          </w:tcPr>
          <w:p>
            <w:r>
              <w:rPr>
                <w:rFonts w:ascii="Calibri" w:hAnsi="Calibri"/>
                <w:sz w:val="22"/>
              </w:rPr>
              <w:t>4,037</w:t>
            </w:r>
          </w:p>
        </w:tc>
        <w:tc>
          <w:tcPr>
            <w:tcW w:type="dxa" w:w="1234"/>
          </w:tcPr>
          <w:p>
            <w:r>
              <w:rPr>
                <w:rFonts w:ascii="Calibri" w:hAnsi="Calibri"/>
                <w:sz w:val="22"/>
              </w:rPr>
              <w:t>~$171K</w:t>
            </w:r>
          </w:p>
        </w:tc>
        <w:tc>
          <w:tcPr>
            <w:tcW w:type="dxa" w:w="1234"/>
          </w:tcPr>
          <w:p>
            <w:r>
              <w:rPr>
                <w:rFonts w:ascii="Calibri" w:hAnsi="Calibri"/>
                <w:sz w:val="22"/>
              </w:rPr>
              <w:t>May 1, 2026</w:t>
            </w:r>
          </w:p>
        </w:tc>
        <w:tc>
          <w:tcPr>
            <w:tcW w:type="dxa" w:w="1234"/>
          </w:tcPr>
          <w:p>
            <w:r>
              <w:rPr>
                <w:rFonts w:ascii="Calibri" w:hAnsi="Calibri"/>
                <w:sz w:val="22"/>
              </w:rPr>
              <w:t>Routine annual director compensation grant</w:t>
            </w:r>
          </w:p>
        </w:tc>
      </w:tr>
      <w:tr>
        <w:tc>
          <w:tcPr>
            <w:tcW w:type="dxa" w:w="1234"/>
          </w:tcPr>
          <w:p>
            <w:r>
              <w:rPr>
                <w:rFonts w:ascii="Calibri" w:hAnsi="Calibri"/>
                <w:sz w:val="22"/>
              </w:rPr>
              <w:t>Fitch, Laurie Lee</w:t>
            </w:r>
          </w:p>
        </w:tc>
        <w:tc>
          <w:tcPr>
            <w:tcW w:type="dxa" w:w="1234"/>
          </w:tcPr>
          <w:p>
            <w:r>
              <w:rPr>
                <w:rFonts w:ascii="Calibri" w:hAnsi="Calibri"/>
                <w:sz w:val="22"/>
              </w:rPr>
              <w:t>Director</w:t>
            </w:r>
          </w:p>
        </w:tc>
        <w:tc>
          <w:tcPr>
            <w:tcW w:type="dxa" w:w="1234"/>
          </w:tcPr>
          <w:p>
            <w:r>
              <w:rPr>
                <w:rFonts w:ascii="Calibri" w:hAnsi="Calibri"/>
                <w:sz w:val="22"/>
              </w:rPr>
              <w:t>Equity Award Grant (A)</w:t>
            </w:r>
          </w:p>
        </w:tc>
        <w:tc>
          <w:tcPr>
            <w:tcW w:type="dxa" w:w="1234"/>
          </w:tcPr>
          <w:p>
            <w:r>
              <w:rPr>
                <w:rFonts w:ascii="Calibri" w:hAnsi="Calibri"/>
                <w:sz w:val="22"/>
              </w:rPr>
              <w:t>4,037</w:t>
            </w:r>
          </w:p>
        </w:tc>
        <w:tc>
          <w:tcPr>
            <w:tcW w:type="dxa" w:w="1234"/>
          </w:tcPr>
          <w:p>
            <w:r>
              <w:rPr>
                <w:rFonts w:ascii="Calibri" w:hAnsi="Calibri"/>
                <w:sz w:val="22"/>
              </w:rPr>
              <w:t>~$171K</w:t>
            </w:r>
          </w:p>
        </w:tc>
        <w:tc>
          <w:tcPr>
            <w:tcW w:type="dxa" w:w="1234"/>
          </w:tcPr>
          <w:p>
            <w:r>
              <w:rPr>
                <w:rFonts w:ascii="Calibri" w:hAnsi="Calibri"/>
                <w:sz w:val="22"/>
              </w:rPr>
              <w:t>May 1, 2026</w:t>
            </w:r>
          </w:p>
        </w:tc>
        <w:tc>
          <w:tcPr>
            <w:tcW w:type="dxa" w:w="1234"/>
          </w:tcPr>
          <w:p>
            <w:r>
              <w:rPr>
                <w:rFonts w:ascii="Calibri" w:hAnsi="Calibri"/>
                <w:sz w:val="22"/>
              </w:rPr>
              <w:t>Routine annual director compensation grant</w:t>
            </w:r>
          </w:p>
        </w:tc>
      </w:tr>
      <w:tr>
        <w:tc>
          <w:tcPr>
            <w:tcW w:type="dxa" w:w="1234"/>
          </w:tcPr>
          <w:p>
            <w:r>
              <w:rPr>
                <w:rFonts w:ascii="Calibri" w:hAnsi="Calibri"/>
                <w:sz w:val="22"/>
              </w:rPr>
              <w:t>Franklin, Chris</w:t>
            </w:r>
          </w:p>
        </w:tc>
        <w:tc>
          <w:tcPr>
            <w:tcW w:type="dxa" w:w="1234"/>
          </w:tcPr>
          <w:p>
            <w:r>
              <w:rPr>
                <w:rFonts w:ascii="Calibri" w:hAnsi="Calibri"/>
                <w:sz w:val="22"/>
              </w:rPr>
              <w:t>Director</w:t>
            </w:r>
          </w:p>
        </w:tc>
        <w:tc>
          <w:tcPr>
            <w:tcW w:type="dxa" w:w="1234"/>
          </w:tcPr>
          <w:p>
            <w:r>
              <w:rPr>
                <w:rFonts w:ascii="Calibri" w:hAnsi="Calibri"/>
                <w:sz w:val="22"/>
              </w:rPr>
              <w:t>Equity Award Grant (A)</w:t>
            </w:r>
          </w:p>
        </w:tc>
        <w:tc>
          <w:tcPr>
            <w:tcW w:type="dxa" w:w="1234"/>
          </w:tcPr>
          <w:p>
            <w:r>
              <w:rPr>
                <w:rFonts w:ascii="Calibri" w:hAnsi="Calibri"/>
                <w:sz w:val="22"/>
              </w:rPr>
              <w:t>4,037</w:t>
            </w:r>
          </w:p>
        </w:tc>
        <w:tc>
          <w:tcPr>
            <w:tcW w:type="dxa" w:w="1234"/>
          </w:tcPr>
          <w:p>
            <w:r>
              <w:rPr>
                <w:rFonts w:ascii="Calibri" w:hAnsi="Calibri"/>
                <w:sz w:val="22"/>
              </w:rPr>
              <w:t>~$171K</w:t>
            </w:r>
          </w:p>
        </w:tc>
        <w:tc>
          <w:tcPr>
            <w:tcW w:type="dxa" w:w="1234"/>
          </w:tcPr>
          <w:p>
            <w:r>
              <w:rPr>
                <w:rFonts w:ascii="Calibri" w:hAnsi="Calibri"/>
                <w:sz w:val="22"/>
              </w:rPr>
              <w:t>May 1, 2026</w:t>
            </w:r>
          </w:p>
        </w:tc>
        <w:tc>
          <w:tcPr>
            <w:tcW w:type="dxa" w:w="1234"/>
          </w:tcPr>
          <w:p>
            <w:r>
              <w:rPr>
                <w:rFonts w:ascii="Calibri" w:hAnsi="Calibri"/>
                <w:sz w:val="22"/>
              </w:rPr>
              <w:t>Routine annual director compensation grant</w:t>
            </w:r>
          </w:p>
        </w:tc>
      </w:tr>
      <w:tr>
        <w:tc>
          <w:tcPr>
            <w:tcW w:type="dxa" w:w="1234"/>
          </w:tcPr>
          <w:p>
            <w:r>
              <w:rPr>
                <w:rFonts w:ascii="Calibri" w:hAnsi="Calibri"/>
                <w:sz w:val="22"/>
              </w:rPr>
              <w:t>Herman, Michael A.</w:t>
            </w:r>
          </w:p>
        </w:tc>
        <w:tc>
          <w:tcPr>
            <w:tcW w:type="dxa" w:w="1234"/>
          </w:tcPr>
          <w:p>
            <w:r>
              <w:rPr>
                <w:rFonts w:ascii="Calibri" w:hAnsi="Calibri"/>
                <w:sz w:val="22"/>
              </w:rPr>
              <w:t>Director</w:t>
            </w:r>
          </w:p>
        </w:tc>
        <w:tc>
          <w:tcPr>
            <w:tcW w:type="dxa" w:w="1234"/>
          </w:tcPr>
          <w:p>
            <w:r>
              <w:rPr>
                <w:rFonts w:ascii="Calibri" w:hAnsi="Calibri"/>
                <w:sz w:val="22"/>
              </w:rPr>
              <w:t>Equity Award Grant (A)</w:t>
            </w:r>
          </w:p>
        </w:tc>
        <w:tc>
          <w:tcPr>
            <w:tcW w:type="dxa" w:w="1234"/>
          </w:tcPr>
          <w:p>
            <w:r>
              <w:rPr>
                <w:rFonts w:ascii="Calibri" w:hAnsi="Calibri"/>
                <w:sz w:val="22"/>
              </w:rPr>
              <w:t>4,037</w:t>
            </w:r>
          </w:p>
        </w:tc>
        <w:tc>
          <w:tcPr>
            <w:tcW w:type="dxa" w:w="1234"/>
          </w:tcPr>
          <w:p>
            <w:r>
              <w:rPr>
                <w:rFonts w:ascii="Calibri" w:hAnsi="Calibri"/>
                <w:sz w:val="22"/>
              </w:rPr>
              <w:t>~$171K</w:t>
            </w:r>
          </w:p>
        </w:tc>
        <w:tc>
          <w:tcPr>
            <w:tcW w:type="dxa" w:w="1234"/>
          </w:tcPr>
          <w:p>
            <w:r>
              <w:rPr>
                <w:rFonts w:ascii="Calibri" w:hAnsi="Calibri"/>
                <w:sz w:val="22"/>
              </w:rPr>
              <w:t>May 1, 2026</w:t>
            </w:r>
          </w:p>
        </w:tc>
        <w:tc>
          <w:tcPr>
            <w:tcW w:type="dxa" w:w="1234"/>
          </w:tcPr>
          <w:p>
            <w:r>
              <w:rPr>
                <w:rFonts w:ascii="Calibri" w:hAnsi="Calibri"/>
                <w:sz w:val="22"/>
              </w:rPr>
              <w:t>Routine annual director compensation grant</w:t>
            </w:r>
          </w:p>
        </w:tc>
      </w:tr>
      <w:tr>
        <w:tc>
          <w:tcPr>
            <w:tcW w:type="dxa" w:w="1234"/>
          </w:tcPr>
          <w:p>
            <w:r>
              <w:rPr>
                <w:rFonts w:ascii="Calibri" w:hAnsi="Calibri"/>
                <w:sz w:val="22"/>
              </w:rPr>
              <w:t>Lewis, Raquelle W.</w:t>
            </w:r>
          </w:p>
        </w:tc>
        <w:tc>
          <w:tcPr>
            <w:tcW w:type="dxa" w:w="1234"/>
          </w:tcPr>
          <w:p>
            <w:r>
              <w:rPr>
                <w:rFonts w:ascii="Calibri" w:hAnsi="Calibri"/>
                <w:sz w:val="22"/>
              </w:rPr>
              <w:t>Director</w:t>
            </w:r>
          </w:p>
        </w:tc>
        <w:tc>
          <w:tcPr>
            <w:tcW w:type="dxa" w:w="1234"/>
          </w:tcPr>
          <w:p>
            <w:r>
              <w:rPr>
                <w:rFonts w:ascii="Calibri" w:hAnsi="Calibri"/>
                <w:sz w:val="22"/>
              </w:rPr>
              <w:t>Equity Award Grant (A)</w:t>
            </w:r>
          </w:p>
        </w:tc>
        <w:tc>
          <w:tcPr>
            <w:tcW w:type="dxa" w:w="1234"/>
          </w:tcPr>
          <w:p>
            <w:r>
              <w:rPr>
                <w:rFonts w:ascii="Calibri" w:hAnsi="Calibri"/>
                <w:sz w:val="22"/>
              </w:rPr>
              <w:t>4,037</w:t>
            </w:r>
          </w:p>
        </w:tc>
        <w:tc>
          <w:tcPr>
            <w:tcW w:type="dxa" w:w="1234"/>
          </w:tcPr>
          <w:p>
            <w:r>
              <w:rPr>
                <w:rFonts w:ascii="Calibri" w:hAnsi="Calibri"/>
                <w:sz w:val="22"/>
              </w:rPr>
              <w:t>~$171K</w:t>
            </w:r>
          </w:p>
        </w:tc>
        <w:tc>
          <w:tcPr>
            <w:tcW w:type="dxa" w:w="1234"/>
          </w:tcPr>
          <w:p>
            <w:r>
              <w:rPr>
                <w:rFonts w:ascii="Calibri" w:hAnsi="Calibri"/>
                <w:sz w:val="22"/>
              </w:rPr>
              <w:t>May 1, 2026</w:t>
            </w:r>
          </w:p>
        </w:tc>
        <w:tc>
          <w:tcPr>
            <w:tcW w:type="dxa" w:w="1234"/>
          </w:tcPr>
          <w:p>
            <w:r>
              <w:rPr>
                <w:rFonts w:ascii="Calibri" w:hAnsi="Calibri"/>
                <w:sz w:val="22"/>
              </w:rPr>
              <w:t>Routine annual director compensation grant</w:t>
            </w:r>
          </w:p>
        </w:tc>
      </w:tr>
      <w:tr>
        <w:tc>
          <w:tcPr>
            <w:tcW w:type="dxa" w:w="1234"/>
          </w:tcPr>
          <w:p>
            <w:r>
              <w:rPr>
                <w:rFonts w:ascii="Calibri" w:hAnsi="Calibri"/>
                <w:sz w:val="22"/>
              </w:rPr>
              <w:t>Malik, Thaddeus J.</w:t>
            </w:r>
          </w:p>
        </w:tc>
        <w:tc>
          <w:tcPr>
            <w:tcW w:type="dxa" w:w="1234"/>
          </w:tcPr>
          <w:p>
            <w:r>
              <w:rPr>
                <w:rFonts w:ascii="Calibri" w:hAnsi="Calibri"/>
                <w:sz w:val="22"/>
              </w:rPr>
              <w:t>Director</w:t>
            </w:r>
          </w:p>
        </w:tc>
        <w:tc>
          <w:tcPr>
            <w:tcW w:type="dxa" w:w="1234"/>
          </w:tcPr>
          <w:p>
            <w:r>
              <w:rPr>
                <w:rFonts w:ascii="Calibri" w:hAnsi="Calibri"/>
                <w:sz w:val="22"/>
              </w:rPr>
              <w:t>Equity Award Grant (A)</w:t>
            </w:r>
          </w:p>
        </w:tc>
        <w:tc>
          <w:tcPr>
            <w:tcW w:type="dxa" w:w="1234"/>
          </w:tcPr>
          <w:p>
            <w:r>
              <w:rPr>
                <w:rFonts w:ascii="Calibri" w:hAnsi="Calibri"/>
                <w:sz w:val="22"/>
              </w:rPr>
              <w:t>4,037</w:t>
            </w:r>
          </w:p>
        </w:tc>
        <w:tc>
          <w:tcPr>
            <w:tcW w:type="dxa" w:w="1234"/>
          </w:tcPr>
          <w:p>
            <w:r>
              <w:rPr>
                <w:rFonts w:ascii="Calibri" w:hAnsi="Calibri"/>
                <w:sz w:val="22"/>
              </w:rPr>
              <w:t>~$171K</w:t>
            </w:r>
          </w:p>
        </w:tc>
        <w:tc>
          <w:tcPr>
            <w:tcW w:type="dxa" w:w="1234"/>
          </w:tcPr>
          <w:p>
            <w:r>
              <w:rPr>
                <w:rFonts w:ascii="Calibri" w:hAnsi="Calibri"/>
                <w:sz w:val="22"/>
              </w:rPr>
              <w:t>May 1, 2026</w:t>
            </w:r>
          </w:p>
        </w:tc>
        <w:tc>
          <w:tcPr>
            <w:tcW w:type="dxa" w:w="1234"/>
          </w:tcPr>
          <w:p>
            <w:r>
              <w:rPr>
                <w:rFonts w:ascii="Calibri" w:hAnsi="Calibri"/>
                <w:sz w:val="22"/>
              </w:rPr>
              <w:t>Routine annual director compensation grant</w:t>
            </w:r>
          </w:p>
        </w:tc>
      </w:tr>
      <w:tr>
        <w:tc>
          <w:tcPr>
            <w:tcW w:type="dxa" w:w="1234"/>
          </w:tcPr>
          <w:p>
            <w:r>
              <w:rPr>
                <w:rFonts w:ascii="Calibri" w:hAnsi="Calibri"/>
                <w:sz w:val="22"/>
              </w:rPr>
              <w:t>Miranda, Manuel B.</w:t>
            </w:r>
          </w:p>
        </w:tc>
        <w:tc>
          <w:tcPr>
            <w:tcW w:type="dxa" w:w="1234"/>
          </w:tcPr>
          <w:p>
            <w:r>
              <w:rPr>
                <w:rFonts w:ascii="Calibri" w:hAnsi="Calibri"/>
                <w:sz w:val="22"/>
              </w:rPr>
              <w:t>Director</w:t>
            </w:r>
          </w:p>
        </w:tc>
        <w:tc>
          <w:tcPr>
            <w:tcW w:type="dxa" w:w="1234"/>
          </w:tcPr>
          <w:p>
            <w:r>
              <w:rPr>
                <w:rFonts w:ascii="Calibri" w:hAnsi="Calibri"/>
                <w:sz w:val="22"/>
              </w:rPr>
              <w:t>Equity Award Grant (A)</w:t>
            </w:r>
          </w:p>
        </w:tc>
        <w:tc>
          <w:tcPr>
            <w:tcW w:type="dxa" w:w="1234"/>
          </w:tcPr>
          <w:p>
            <w:r>
              <w:rPr>
                <w:rFonts w:ascii="Calibri" w:hAnsi="Calibri"/>
                <w:sz w:val="22"/>
              </w:rPr>
              <w:t>4,037</w:t>
            </w:r>
          </w:p>
        </w:tc>
        <w:tc>
          <w:tcPr>
            <w:tcW w:type="dxa" w:w="1234"/>
          </w:tcPr>
          <w:p>
            <w:r>
              <w:rPr>
                <w:rFonts w:ascii="Calibri" w:hAnsi="Calibri"/>
                <w:sz w:val="22"/>
              </w:rPr>
              <w:t>~$171K</w:t>
            </w:r>
          </w:p>
        </w:tc>
        <w:tc>
          <w:tcPr>
            <w:tcW w:type="dxa" w:w="1234"/>
          </w:tcPr>
          <w:p>
            <w:r>
              <w:rPr>
                <w:rFonts w:ascii="Calibri" w:hAnsi="Calibri"/>
                <w:sz w:val="22"/>
              </w:rPr>
              <w:t>May 1, 2026</w:t>
            </w:r>
          </w:p>
        </w:tc>
        <w:tc>
          <w:tcPr>
            <w:tcW w:type="dxa" w:w="1234"/>
          </w:tcPr>
          <w:p>
            <w:r>
              <w:rPr>
                <w:rFonts w:ascii="Calibri" w:hAnsi="Calibri"/>
                <w:sz w:val="22"/>
              </w:rPr>
              <w:t>Routine annual director compensation grant</w:t>
            </w:r>
          </w:p>
        </w:tc>
      </w:tr>
      <w:tr>
        <w:tc>
          <w:tcPr>
            <w:tcW w:type="dxa" w:w="1234"/>
          </w:tcPr>
          <w:p>
            <w:r>
              <w:rPr>
                <w:rFonts w:ascii="Calibri" w:hAnsi="Calibri"/>
                <w:sz w:val="22"/>
              </w:rPr>
              <w:t>Pound, Ted</w:t>
            </w:r>
          </w:p>
        </w:tc>
        <w:tc>
          <w:tcPr>
            <w:tcW w:type="dxa" w:w="1234"/>
          </w:tcPr>
          <w:p>
            <w:r>
              <w:rPr>
                <w:rFonts w:ascii="Calibri" w:hAnsi="Calibri"/>
                <w:sz w:val="22"/>
              </w:rPr>
              <w:t>Director</w:t>
            </w:r>
          </w:p>
        </w:tc>
        <w:tc>
          <w:tcPr>
            <w:tcW w:type="dxa" w:w="1234"/>
          </w:tcPr>
          <w:p>
            <w:r>
              <w:rPr>
                <w:rFonts w:ascii="Calibri" w:hAnsi="Calibri"/>
                <w:sz w:val="22"/>
              </w:rPr>
              <w:t>Equity Award Grant (A)</w:t>
            </w:r>
          </w:p>
        </w:tc>
        <w:tc>
          <w:tcPr>
            <w:tcW w:type="dxa" w:w="1234"/>
          </w:tcPr>
          <w:p>
            <w:r>
              <w:rPr>
                <w:rFonts w:ascii="Calibri" w:hAnsi="Calibri"/>
                <w:sz w:val="22"/>
              </w:rPr>
              <w:t>4,037</w:t>
            </w:r>
          </w:p>
        </w:tc>
        <w:tc>
          <w:tcPr>
            <w:tcW w:type="dxa" w:w="1234"/>
          </w:tcPr>
          <w:p>
            <w:r>
              <w:rPr>
                <w:rFonts w:ascii="Calibri" w:hAnsi="Calibri"/>
                <w:sz w:val="22"/>
              </w:rPr>
              <w:t>~$171K</w:t>
            </w:r>
          </w:p>
        </w:tc>
        <w:tc>
          <w:tcPr>
            <w:tcW w:type="dxa" w:w="1234"/>
          </w:tcPr>
          <w:p>
            <w:r>
              <w:rPr>
                <w:rFonts w:ascii="Calibri" w:hAnsi="Calibri"/>
                <w:sz w:val="22"/>
              </w:rPr>
              <w:t>May 1, 2026</w:t>
            </w:r>
          </w:p>
        </w:tc>
        <w:tc>
          <w:tcPr>
            <w:tcW w:type="dxa" w:w="1234"/>
          </w:tcPr>
          <w:p>
            <w:r>
              <w:rPr>
                <w:rFonts w:ascii="Calibri" w:hAnsi="Calibri"/>
                <w:sz w:val="22"/>
              </w:rPr>
              <w:t>Routine annual director compensation grant</w:t>
            </w:r>
          </w:p>
        </w:tc>
      </w:tr>
      <w:tr>
        <w:tc>
          <w:tcPr>
            <w:tcW w:type="dxa" w:w="1234"/>
          </w:tcPr>
          <w:p>
            <w:r>
              <w:rPr>
                <w:rFonts w:ascii="Calibri" w:hAnsi="Calibri"/>
                <w:sz w:val="22"/>
              </w:rPr>
              <w:t>Seavers, Dean</w:t>
            </w:r>
          </w:p>
        </w:tc>
        <w:tc>
          <w:tcPr>
            <w:tcW w:type="dxa" w:w="1234"/>
          </w:tcPr>
          <w:p>
            <w:r>
              <w:rPr>
                <w:rFonts w:ascii="Calibri" w:hAnsi="Calibri"/>
                <w:sz w:val="22"/>
              </w:rPr>
              <w:t>Director</w:t>
            </w:r>
          </w:p>
        </w:tc>
        <w:tc>
          <w:tcPr>
            <w:tcW w:type="dxa" w:w="1234"/>
          </w:tcPr>
          <w:p>
            <w:r>
              <w:rPr>
                <w:rFonts w:ascii="Calibri" w:hAnsi="Calibri"/>
                <w:sz w:val="22"/>
              </w:rPr>
              <w:t>Equity Award Grant (A)</w:t>
            </w:r>
          </w:p>
        </w:tc>
        <w:tc>
          <w:tcPr>
            <w:tcW w:type="dxa" w:w="1234"/>
          </w:tcPr>
          <w:p>
            <w:r>
              <w:rPr>
                <w:rFonts w:ascii="Calibri" w:hAnsi="Calibri"/>
                <w:sz w:val="22"/>
              </w:rPr>
              <w:t>4,037</w:t>
            </w:r>
          </w:p>
        </w:tc>
        <w:tc>
          <w:tcPr>
            <w:tcW w:type="dxa" w:w="1234"/>
          </w:tcPr>
          <w:p>
            <w:r>
              <w:rPr>
                <w:rFonts w:ascii="Calibri" w:hAnsi="Calibri"/>
                <w:sz w:val="22"/>
              </w:rPr>
              <w:t>~$171K</w:t>
            </w:r>
          </w:p>
        </w:tc>
        <w:tc>
          <w:tcPr>
            <w:tcW w:type="dxa" w:w="1234"/>
          </w:tcPr>
          <w:p>
            <w:r>
              <w:rPr>
                <w:rFonts w:ascii="Calibri" w:hAnsi="Calibri"/>
                <w:sz w:val="22"/>
              </w:rPr>
              <w:t>May 1, 2026</w:t>
            </w:r>
          </w:p>
        </w:tc>
        <w:tc>
          <w:tcPr>
            <w:tcW w:type="dxa" w:w="1234"/>
          </w:tcPr>
          <w:p>
            <w:r>
              <w:rPr>
                <w:rFonts w:ascii="Calibri" w:hAnsi="Calibri"/>
                <w:sz w:val="22"/>
              </w:rPr>
              <w:t>Routine annual director compensation grant</w:t>
            </w:r>
          </w:p>
        </w:tc>
      </w:tr>
    </w:tbl>
    <w:p>
      <w:r>
        <w:rPr>
          <w:rFonts w:ascii="Calibri" w:hAnsi="Calibri"/>
          <w:i/>
          <w:color w:val="525866"/>
          <w:sz w:val="22"/>
        </w:rPr>
        <w:t xml:space="preserve">Note: </w:t>
      </w:r>
      <w:r>
        <w:rPr>
          <w:rFonts w:ascii="Calibri" w:hAnsi="Calibri"/>
          <w:i/>
          <w:color w:val="525866"/>
          <w:sz w:val="22"/>
        </w:rPr>
        <w:t>No open-market purchases (code P) or discretionary sales (code S) were identified. The CFO’s share surrender (code F) is a tax withholding event tied to equity vesting, not a discretionary sale. Director grants (code A) are routine annual compensation. No 10b5-1 plan initiations were identified. Overall, insider activity is neutral — no signal.</w:t>
      </w:r>
    </w:p>
    <w:p>
      <w:r>
        <w:br w:type="page"/>
      </w:r>
    </w:p>
    <w:p>
      <w:pPr>
        <w:pStyle w:val="Heading2"/>
      </w:pPr>
      <w:r>
        <w:rPr>
          <w:rFonts w:ascii="Calibri" w:hAnsi="Calibri"/>
          <w:b/>
          <w:color w:val="3B4259"/>
          <w:sz w:val="28"/>
        </w:rPr>
        <w:t>8. Peer Commentary — Read-Throughs (Last 60 Days)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uniformly bullish on large load / data center demand</w:t>
      </w:r>
      <w:r>
        <w:rPr>
          <w:rFonts w:ascii="Calibri" w:hAnsi="Calibri"/>
          <w:color w:val="525866"/>
          <w:sz w:val="22"/>
        </w:rPr>
        <w:t xml:space="preserve"> — NEE (Q2 2026) and AEP (Q1 2026 forward guidance) both raised their large load outlooks, while Entergy’s June 2026 Investor Day confirmed the strongest rate base growth in the industry. Duke Energy’s Q1 2026 call highlighted accelerating ESA signings and specifically called out </w:t>
      </w:r>
      <w:r>
        <w:rPr>
          <w:rFonts w:ascii="Calibri" w:hAnsi="Calibri"/>
          <w:b/>
          <w:color w:val="525866"/>
          <w:sz w:val="22"/>
        </w:rPr>
        <w:t>southern Indiana</w:t>
      </w:r>
      <w:r>
        <w:rPr>
          <w:rFonts w:ascii="Calibri" w:hAnsi="Calibri"/>
          <w:color w:val="525866"/>
          <w:sz w:val="22"/>
        </w:rPr>
        <w:t xml:space="preserve"> as an emerging data center hub. The read-through for CNP is </w:t>
      </w:r>
      <w:r>
        <w:rPr>
          <w:rFonts w:ascii="Calibri" w:hAnsi="Calibri"/>
          <w:b/>
          <w:color w:val="30A46C"/>
          <w:sz w:val="22"/>
        </w:rPr>
        <w:t>positive</w:t>
      </w:r>
      <w:r>
        <w:rPr>
          <w:rFonts w:ascii="Calibri" w:hAnsi="Calibri"/>
          <w:color w:val="525866"/>
          <w:sz w:val="22"/>
        </w:rPr>
        <w:t>: the macro demand environment for industrial/data center load in Texas and the broader Gulf Coast/Midwest is strengthening, not weakening, which supports CNP’s 12.2 GW committed load thesis and the Indiana Electric opportunity.</w:t>
      </w:r>
    </w:p>
    <w:p>
      <w:pPr>
        <w:pStyle w:val="Heading3"/>
      </w:pPr>
      <w:r>
        <w:rPr>
          <w:rFonts w:ascii="Calibri" w:hAnsi="Calibri"/>
          <w:b/>
          <w:color w:val="3B4259"/>
          <w:sz w:val="24"/>
        </w:rPr>
        <w:t>NextEra Energy (NEE) — Q2 2026 Earnings Call (July 24, 2026)</w:t>
      </w:r>
    </w:p>
    <w:p>
      <w:r>
        <w:rPr>
          <w:rFonts w:ascii="Calibri" w:hAnsi="Calibri"/>
          <w:b/>
          <w:color w:val="525866"/>
          <w:sz w:val="22"/>
        </w:rPr>
        <w:t xml:space="preserve">Read-Through Relevance: </w:t>
      </w:r>
      <w:r>
        <w:rPr>
          <w:rFonts w:ascii="Calibri" w:hAnsi="Calibri"/>
          <w:b/>
          <w:color w:val="30A46C"/>
          <w:sz w:val="22"/>
        </w:rPr>
        <w:t>HIGH</w:t>
      </w:r>
      <w:r>
        <w:rPr>
          <w:rFonts w:ascii="Calibri" w:hAnsi="Calibri"/>
          <w:color w:val="525866"/>
          <w:sz w:val="22"/>
        </w:rPr>
        <w:t xml:space="preserve"> — NEE’s FPL territory (Florida) is a direct analog for large load demand dynamics; NEE’s commentary on hyperscaler appetite and tariff structures is directly relevant to CNP’s Houston Electric industrial load ramp. This is the most current peer data point, reporting Q2 2026 results just one day before CNP.</w:t>
      </w:r>
    </w:p>
    <w:p>
      <w:pPr>
        <w:pStyle w:val="ListBullet"/>
        <w:ind w:left="360" w:hanging="360"/>
      </w:pPr>
      <w:r>
        <w:rPr>
          <w:rFonts w:ascii="Calibri" w:hAnsi="Calibri"/>
          <w:b/>
          <w:color w:val="525866"/>
          <w:sz w:val="22"/>
        </w:rPr>
        <w:t>Large Load Outlook Raised to 8 GW by 2032:</w:t>
      </w:r>
      <w:r>
        <w:rPr>
          <w:rFonts w:ascii="Calibri" w:hAnsi="Calibri"/>
          <w:color w:val="525866"/>
          <w:sz w:val="22"/>
        </w:rPr>
        <w:t xml:space="preserve"> NEE raised its FPL large load expectation from 6 GW to 8 GW by 2032 as part of a new four-year rate agreement, citing “very strong interest from hyperscalers and other large load customers.” FPL has ~21 GW of large load interest, with advanced discussions on 12 GW, a portion of which could begin being served as soon as 2028. </w:t>
      </w:r>
      <w:r>
        <w:rPr>
          <w:rFonts w:ascii="Calibri" w:hAnsi="Calibri"/>
          <w:i/>
          <w:color w:val="525866"/>
          <w:sz w:val="22"/>
        </w:rPr>
        <w:t>CNP read-through:</w:t>
      </w:r>
      <w:r>
        <w:rPr>
          <w:rFonts w:ascii="Calibri" w:hAnsi="Calibri"/>
          <w:color w:val="525866"/>
          <w:sz w:val="22"/>
        </w:rPr>
        <w:t xml:space="preserve"> Demand for utility-served large load remains robust and is accelerating — supports CNP’s 12.2 GW committed load thesis and the expectation of further upward revisions.</w:t>
      </w:r>
    </w:p>
    <w:p>
      <w:pPr>
        <w:pStyle w:val="ListBullet"/>
        <w:ind w:left="360" w:hanging="360"/>
      </w:pPr>
      <w:r>
        <w:rPr>
          <w:rFonts w:ascii="Calibri" w:hAnsi="Calibri"/>
          <w:b/>
          <w:color w:val="525866"/>
          <w:sz w:val="22"/>
        </w:rPr>
        <w:t>Regulatory Frameworks Solidifying:</w:t>
      </w:r>
      <w:r>
        <w:rPr>
          <w:rFonts w:ascii="Calibri" w:hAnsi="Calibri"/>
          <w:color w:val="525866"/>
          <w:sz w:val="22"/>
        </w:rPr>
        <w:t xml:space="preserve"> Florida’s governor signed legislation codifying FPL’s large load tariff into law; NEE and Dominion announced support for the White House’s Ratepayer Protection Pledge (large load customers paying their fair share). </w:t>
      </w:r>
      <w:r>
        <w:rPr>
          <w:rFonts w:ascii="Calibri" w:hAnsi="Calibri"/>
          <w:i/>
          <w:color w:val="525866"/>
          <w:sz w:val="22"/>
        </w:rPr>
        <w:t>CNP read-through:</w:t>
      </w:r>
      <w:r>
        <w:rPr>
          <w:rFonts w:ascii="Calibri" w:hAnsi="Calibri"/>
          <w:color w:val="525866"/>
          <w:sz w:val="22"/>
        </w:rPr>
        <w:t xml:space="preserve"> National regulatory frameworks for large load are solidifying, reducing policy risk for CNP’s industrial tariff structures in Texas.</w:t>
      </w:r>
    </w:p>
    <w:p>
      <w:pPr>
        <w:pStyle w:val="ListBullet"/>
        <w:ind w:left="360" w:hanging="360"/>
      </w:pPr>
      <w:r>
        <w:rPr>
          <w:rFonts w:ascii="Calibri" w:hAnsi="Calibri"/>
          <w:b/>
          <w:color w:val="525866"/>
          <w:sz w:val="22"/>
        </w:rPr>
        <w:t>Texas Gas Generation Build-Out:</w:t>
      </w:r>
      <w:r>
        <w:rPr>
          <w:rFonts w:ascii="Calibri" w:hAnsi="Calibri"/>
          <w:color w:val="525866"/>
          <w:sz w:val="22"/>
        </w:rPr>
        <w:t xml:space="preserve"> NEE is advancing up to 9.5 GW of gas-fired generation projects in Texas and Pennsylvania for data center hubs. </w:t>
      </w:r>
      <w:r>
        <w:rPr>
          <w:rFonts w:ascii="Calibri" w:hAnsi="Calibri"/>
          <w:i/>
          <w:color w:val="525866"/>
          <w:sz w:val="22"/>
        </w:rPr>
        <w:t>CNP read-through:</w:t>
      </w:r>
      <w:r>
        <w:rPr>
          <w:rFonts w:ascii="Calibri" w:hAnsi="Calibri"/>
          <w:color w:val="525866"/>
          <w:sz w:val="22"/>
        </w:rPr>
        <w:t xml:space="preserve"> Confirms Texas remains the epicenter of data center infrastructure investment; CNP’s Houston Electric territory is well-positioned to capture incremental demand.</w:t>
      </w:r>
    </w:p>
    <w:p>
      <w:pPr>
        <w:pStyle w:val="ListBullet"/>
        <w:ind w:left="360" w:hanging="360"/>
      </w:pPr>
      <w:r>
        <w:rPr>
          <w:rFonts w:ascii="Calibri" w:hAnsi="Calibri"/>
          <w:b/>
          <w:color w:val="525866"/>
          <w:sz w:val="22"/>
        </w:rPr>
        <w:t>Energy Resources Backlog at Record Levels:</w:t>
      </w:r>
      <w:r>
        <w:rPr>
          <w:rFonts w:ascii="Calibri" w:hAnsi="Calibri"/>
          <w:color w:val="525866"/>
          <w:sz w:val="22"/>
        </w:rPr>
        <w:t xml:space="preserve"> Energy Resources added 3.6 GW of renewables/storage to backlog in Q2 2026 (second-largest quarter ever), bringing total backlog to ~35.1 GW. Battery storage represented 2 GW of additions. </w:t>
      </w:r>
      <w:r>
        <w:rPr>
          <w:rFonts w:ascii="Calibri" w:hAnsi="Calibri"/>
          <w:i/>
          <w:color w:val="525866"/>
          <w:sz w:val="22"/>
        </w:rPr>
        <w:t>CNP read-through:</w:t>
      </w:r>
      <w:r>
        <w:rPr>
          <w:rFonts w:ascii="Calibri" w:hAnsi="Calibri"/>
          <w:color w:val="525866"/>
          <w:sz w:val="22"/>
        </w:rPr>
        <w:t xml:space="preserve"> Broad-based demand for power infrastructure remains strong heading into Q2 2026 reporting season — no signs of demand deceleration.</w:t>
      </w:r>
    </w:p>
    <w:p>
      <w:pPr>
        <w:pStyle w:val="Heading3"/>
      </w:pPr>
      <w:r>
        <w:rPr>
          <w:rFonts w:ascii="Calibri" w:hAnsi="Calibri"/>
          <w:b/>
          <w:color w:val="3B4259"/>
          <w:sz w:val="24"/>
        </w:rPr>
        <w:t>American Electric Power (AEP) — Q1 2026 Earnings Call (May 5, 2026)</w:t>
      </w:r>
    </w:p>
    <w:p>
      <w:r>
        <w:rPr>
          <w:rFonts w:ascii="Calibri" w:hAnsi="Calibri"/>
          <w:b/>
          <w:color w:val="525866"/>
          <w:sz w:val="22"/>
        </w:rPr>
        <w:t xml:space="preserve">Read-Through Relevance: </w:t>
      </w:r>
      <w:r>
        <w:rPr>
          <w:rFonts w:ascii="Calibri" w:hAnsi="Calibri"/>
          <w:b/>
          <w:color w:val="30A46C"/>
          <w:sz w:val="22"/>
        </w:rPr>
        <w:t>HIGH</w:t>
      </w:r>
      <w:r>
        <w:rPr>
          <w:rFonts w:ascii="Calibri" w:hAnsi="Calibri"/>
          <w:color w:val="525866"/>
          <w:sz w:val="22"/>
        </w:rPr>
        <w:t xml:space="preserve"> — AEP Texas (ERCOT) is CNP’s most direct peer for Texas industrial load dynamics. AEP contracted 7 GW of new load in Q1 2026, primarily from AEP Texas and AEP Ohio, and provided detailed forward-looking commentary on Q2/FY2026 conditions.</w:t>
      </w:r>
    </w:p>
    <w:p>
      <w:pPr>
        <w:pStyle w:val="ListBullet"/>
        <w:ind w:left="360" w:hanging="360"/>
      </w:pPr>
      <w:r>
        <w:rPr>
          <w:rFonts w:ascii="Calibri" w:hAnsi="Calibri"/>
          <w:b/>
          <w:color w:val="525866"/>
          <w:sz w:val="22"/>
        </w:rPr>
        <w:t>ERCOT Demand Is Real and Accelerating:</w:t>
      </w:r>
      <w:r>
        <w:rPr>
          <w:rFonts w:ascii="Calibri" w:hAnsi="Calibri"/>
          <w:color w:val="525866"/>
          <w:sz w:val="22"/>
        </w:rPr>
        <w:t xml:space="preserve"> AEP contracted an additional 7 GW of load in Q1 2026, bringing its incremental contracted total to 63 GW expected by 2030 (up from 56 GW last quarter). Of the 63 GW, nearly 90% are data centers/hyperscalers. AEP Texas alone accounts for 41 GW of contracted load in ERCOT. </w:t>
      </w:r>
      <w:r>
        <w:rPr>
          <w:rFonts w:ascii="Calibri" w:hAnsi="Calibri"/>
          <w:i/>
          <w:color w:val="525866"/>
          <w:sz w:val="22"/>
        </w:rPr>
        <w:t>CNP read-through:</w:t>
      </w:r>
      <w:r>
        <w:rPr>
          <w:rFonts w:ascii="Calibri" w:hAnsi="Calibri"/>
          <w:color w:val="525866"/>
          <w:sz w:val="22"/>
        </w:rPr>
        <w:t xml:space="preserve"> AEP’s 41 GW ERCOT contracted load (vs. CNP’s 12.2 GW committed) confirms the scale of the opportunity and validates CNP’s conservative assumptions — CNP’s load thesis is not at risk of being overstated.</w:t>
      </w:r>
    </w:p>
    <w:p>
      <w:pPr>
        <w:pStyle w:val="ListBullet"/>
        <w:ind w:left="360" w:hanging="360"/>
      </w:pPr>
      <w:r>
        <w:rPr>
          <w:rFonts w:ascii="Calibri" w:hAnsi="Calibri"/>
          <w:b/>
          <w:color w:val="525866"/>
          <w:sz w:val="22"/>
        </w:rPr>
        <w:t>Capital Plan Raised to $78B:</w:t>
      </w:r>
      <w:r>
        <w:rPr>
          <w:rFonts w:ascii="Calibri" w:hAnsi="Calibri"/>
          <w:color w:val="525866"/>
          <w:sz w:val="22"/>
        </w:rPr>
        <w:t xml:space="preserve"> AEP raised its 5-year capital plan to $78B (from $72B), driving an expected 11% rate base CAGR, and raised its long-term operating EPS CAGR to &gt;9%. </w:t>
      </w:r>
      <w:r>
        <w:rPr>
          <w:rFonts w:ascii="Calibri" w:hAnsi="Calibri"/>
          <w:i/>
          <w:color w:val="525866"/>
          <w:sz w:val="22"/>
        </w:rPr>
        <w:t>CNP read-through:</w:t>
      </w:r>
      <w:r>
        <w:rPr>
          <w:rFonts w:ascii="Calibri" w:hAnsi="Calibri"/>
          <w:color w:val="525866"/>
          <w:sz w:val="22"/>
        </w:rPr>
        <w:t xml:space="preserve"> Peers are raising capital plans in response to demand — supports CNP’s $65.5B+ base plan and potential for further upward revisions to the incremental $10B+ opportunity.</w:t>
      </w:r>
    </w:p>
    <w:p>
      <w:pPr>
        <w:pStyle w:val="ListBullet"/>
        <w:ind w:left="360" w:hanging="360"/>
      </w:pPr>
      <w:r>
        <w:rPr>
          <w:rFonts w:ascii="Calibri" w:hAnsi="Calibri"/>
          <w:b/>
          <w:color w:val="525866"/>
          <w:sz w:val="22"/>
        </w:rPr>
        <w:t>ERCOT’s Bilateral Structure Is a Competitive Advantage:</w:t>
      </w:r>
      <w:r>
        <w:rPr>
          <w:rFonts w:ascii="Calibri" w:hAnsi="Calibri"/>
          <w:color w:val="525866"/>
          <w:sz w:val="22"/>
        </w:rPr>
        <w:t xml:space="preserve"> AEP is evaluating whether to remain in PJM/SPP RTOs, citing their inability to provide timely interconnection responses. </w:t>
      </w:r>
      <w:r>
        <w:rPr>
          <w:rFonts w:ascii="Calibri" w:hAnsi="Calibri"/>
          <w:i/>
          <w:color w:val="525866"/>
          <w:sz w:val="22"/>
        </w:rPr>
        <w:t>CNP read-through:</w:t>
      </w:r>
      <w:r>
        <w:rPr>
          <w:rFonts w:ascii="Calibri" w:hAnsi="Calibri"/>
          <w:color w:val="525866"/>
          <w:sz w:val="22"/>
        </w:rPr>
        <w:t xml:space="preserve"> ERCOT’s bilateral structure (where CNP operates) is a competitive advantage — faster interconnection timelines support CNP’s ability to energize 8 GW by 2029.</w:t>
      </w:r>
    </w:p>
    <w:p>
      <w:pPr>
        <w:pStyle w:val="ListBullet"/>
        <w:ind w:left="360" w:hanging="360"/>
      </w:pPr>
      <w:r>
        <w:rPr>
          <w:rFonts w:ascii="Calibri" w:hAnsi="Calibri"/>
          <w:b/>
          <w:color w:val="525866"/>
          <w:sz w:val="22"/>
        </w:rPr>
        <w:t>Guidance Stability:</w:t>
      </w:r>
      <w:r>
        <w:rPr>
          <w:rFonts w:ascii="Calibri" w:hAnsi="Calibri"/>
          <w:color w:val="525866"/>
          <w:sz w:val="22"/>
        </w:rPr>
        <w:t xml:space="preserve"> AEP reaffirmed FY2026 operating EPS guidance of $6.15–$6.45 and 7–9% growth through 2030. </w:t>
      </w:r>
      <w:r>
        <w:rPr>
          <w:rFonts w:ascii="Calibri" w:hAnsi="Calibri"/>
          <w:i/>
          <w:color w:val="525866"/>
          <w:sz w:val="22"/>
        </w:rPr>
        <w:t>CNP read-through:</w:t>
      </w:r>
      <w:r>
        <w:rPr>
          <w:rFonts w:ascii="Calibri" w:hAnsi="Calibri"/>
          <w:color w:val="525866"/>
          <w:sz w:val="22"/>
        </w:rPr>
        <w:t xml:space="preserve"> Peer guidance stability supports CNP’s own guidance reiteration and the credibility of the sector’s growth narrative.</w:t>
      </w:r>
    </w:p>
    <w:p>
      <w:pPr>
        <w:pStyle w:val="Heading3"/>
      </w:pPr>
      <w:r>
        <w:rPr>
          <w:rFonts w:ascii="Calibri" w:hAnsi="Calibri"/>
          <w:b/>
          <w:color w:val="3B4259"/>
          <w:sz w:val="24"/>
        </w:rPr>
        <w:t>Entergy (ETR) — Investor Day (June 9, 2026)</w:t>
      </w:r>
    </w:p>
    <w:p>
      <w:r>
        <w:rPr>
          <w:rFonts w:ascii="Calibri" w:hAnsi="Calibri"/>
          <w:b/>
          <w:color w:val="525866"/>
          <w:sz w:val="22"/>
        </w:rPr>
        <w:t xml:space="preserve">Read-Through Relevance: </w:t>
      </w:r>
      <w:r>
        <w:rPr>
          <w:rFonts w:ascii="Calibri" w:hAnsi="Calibri"/>
          <w:b/>
          <w:color w:val="30A46C"/>
          <w:sz w:val="22"/>
        </w:rPr>
        <w:t>MEDIUM-HIGH</w:t>
      </w:r>
      <w:r>
        <w:rPr>
          <w:rFonts w:ascii="Calibri" w:hAnsi="Calibri"/>
          <w:color w:val="525866"/>
          <w:sz w:val="22"/>
        </w:rPr>
        <w:t xml:space="preserve"> — ETR serves the Gulf Coast/Louisiana/Texas border region; its industrial customer base (LNG, petrochemicals, data centers) overlaps with CNP’s Houston-area industrial demand drivers. This is the most recent pre-Q2 peer event.</w:t>
      </w:r>
    </w:p>
    <w:p>
      <w:pPr>
        <w:pStyle w:val="ListBullet"/>
        <w:ind w:left="360" w:hanging="360"/>
      </w:pPr>
      <w:r>
        <w:rPr>
          <w:rFonts w:ascii="Calibri" w:hAnsi="Calibri"/>
          <w:b/>
          <w:color w:val="525866"/>
          <w:sz w:val="22"/>
        </w:rPr>
        <w:t>ESA Backlog Nearly Doubled Since 2024:</w:t>
      </w:r>
      <w:r>
        <w:rPr>
          <w:rFonts w:ascii="Calibri" w:hAnsi="Calibri"/>
          <w:color w:val="525866"/>
          <w:sz w:val="22"/>
        </w:rPr>
        <w:t xml:space="preserve"> ETR’s ESA backlog has “nearly doubled” since its 2024 Investor Day, including data centers, LNG, steel, and petrochemical companies. 24-month ESA outlook: 7–12 GW for data centers and 3–5 GW for other industries. ETR believes it can serve another 15–20 GW of large load growth over the next several years (not in base case). </w:t>
      </w:r>
      <w:r>
        <w:rPr>
          <w:rFonts w:ascii="Calibri" w:hAnsi="Calibri"/>
          <w:i/>
          <w:color w:val="525866"/>
          <w:sz w:val="22"/>
        </w:rPr>
        <w:t>CNP read-through:</w:t>
      </w:r>
      <w:r>
        <w:rPr>
          <w:rFonts w:ascii="Calibri" w:hAnsi="Calibri"/>
          <w:color w:val="525866"/>
          <w:sz w:val="22"/>
        </w:rPr>
        <w:t xml:space="preserve"> Gulf Coast industrial demand (LNG, petrochemicals, advanced manufacturing) — the same drivers CNP cites for Houston Electric — remains robust and is accelerating.</w:t>
      </w:r>
    </w:p>
    <w:p>
      <w:pPr>
        <w:pStyle w:val="ListBullet"/>
        <w:ind w:left="360" w:hanging="360"/>
      </w:pPr>
      <w:r>
        <w:rPr>
          <w:rFonts w:ascii="Calibri" w:hAnsi="Calibri"/>
          <w:b/>
          <w:color w:val="525866"/>
          <w:sz w:val="22"/>
        </w:rPr>
        <w:t>Hyperscaler Mega-Projects Deepening Gulf Coast Commitment:</w:t>
      </w:r>
      <w:r>
        <w:rPr>
          <w:rFonts w:ascii="Calibri" w:hAnsi="Calibri"/>
          <w:color w:val="525866"/>
          <w:sz w:val="22"/>
        </w:rPr>
        <w:t xml:space="preserve"> Meta’s “biggest project ever” is a 5 GW, $50B investment in Richland Parish, Louisiana, in partnership with Entergy. AWS is expanding in Mississippi. </w:t>
      </w:r>
      <w:r>
        <w:rPr>
          <w:rFonts w:ascii="Calibri" w:hAnsi="Calibri"/>
          <w:i/>
          <w:color w:val="525866"/>
          <w:sz w:val="22"/>
        </w:rPr>
        <w:t>CNP read-through:</w:t>
      </w:r>
      <w:r>
        <w:rPr>
          <w:rFonts w:ascii="Calibri" w:hAnsi="Calibri"/>
          <w:color w:val="525866"/>
          <w:sz w:val="22"/>
        </w:rPr>
        <w:t xml:space="preserve"> Hyperscaler commitment to Gulf Coast infrastructure is deepening — validates CNP’s thesis that Houston’s advanced manufacturing and data center ecosystem will continue to attract large load customers.</w:t>
      </w:r>
    </w:p>
    <w:p>
      <w:pPr>
        <w:pStyle w:val="ListBullet"/>
        <w:ind w:left="360" w:hanging="360"/>
      </w:pPr>
      <w:r>
        <w:rPr>
          <w:rFonts w:ascii="Calibri" w:hAnsi="Calibri"/>
          <w:b/>
          <w:color w:val="525866"/>
          <w:sz w:val="22"/>
        </w:rPr>
        <w:t>Capital Plan Doubled to $67B:</w:t>
      </w:r>
      <w:r>
        <w:rPr>
          <w:rFonts w:ascii="Calibri" w:hAnsi="Calibri"/>
          <w:color w:val="525866"/>
          <w:sz w:val="22"/>
        </w:rPr>
        <w:t xml:space="preserve"> ETR’s 5-year capital plan has doubled to $67B ($13B/year average), with rate base expected to reach $97B by 2030 (16% CAGR — “highest in the industry”). </w:t>
      </w:r>
      <w:r>
        <w:rPr>
          <w:rFonts w:ascii="Calibri" w:hAnsi="Calibri"/>
          <w:i/>
          <w:color w:val="525866"/>
          <w:sz w:val="22"/>
        </w:rPr>
        <w:t>CNP read-through:</w:t>
      </w:r>
      <w:r>
        <w:rPr>
          <w:rFonts w:ascii="Calibri" w:hAnsi="Calibri"/>
          <w:color w:val="525866"/>
          <w:sz w:val="22"/>
        </w:rPr>
        <w:t xml:space="preserve"> The entire Gulf Coast utility corridor is in a capex supercycle; CNP’s $65.5B plan is consistent with peer investment levels and the incremental $10B+ opportunity is credible.</w:t>
      </w:r>
    </w:p>
    <w:p>
      <w:pPr>
        <w:pStyle w:val="ListBullet"/>
        <w:ind w:left="360" w:hanging="360"/>
      </w:pPr>
      <w:r>
        <w:rPr>
          <w:rFonts w:ascii="Calibri" w:hAnsi="Calibri"/>
          <w:b/>
          <w:color w:val="525866"/>
          <w:sz w:val="22"/>
        </w:rPr>
        <w:t>Traditional Industrial Demand Remains Durable:</w:t>
      </w:r>
      <w:r>
        <w:rPr>
          <w:rFonts w:ascii="Calibri" w:hAnsi="Calibri"/>
          <w:color w:val="525866"/>
          <w:sz w:val="22"/>
        </w:rPr>
        <w:t xml:space="preserve"> Traditional industrial customers (LNG, steel, petrochemicals) driving 5% growth for 15 years; sales growth expected to more than double over next 5 years. </w:t>
      </w:r>
      <w:r>
        <w:rPr>
          <w:rFonts w:ascii="Calibri" w:hAnsi="Calibri"/>
          <w:i/>
          <w:color w:val="525866"/>
          <w:sz w:val="22"/>
        </w:rPr>
        <w:t>CNP read-through:</w:t>
      </w:r>
      <w:r>
        <w:rPr>
          <w:rFonts w:ascii="Calibri" w:hAnsi="Calibri"/>
          <w:color w:val="525866"/>
          <w:sz w:val="22"/>
        </w:rPr>
        <w:t xml:space="preserve"> Non-data-center industrial demand (which CNP also benefits from in Houston) remains a durable, multi-decade tailwind — not solely dependent on AI/data center capex cycles.</w:t>
      </w:r>
    </w:p>
    <w:p>
      <w:pPr>
        <w:pStyle w:val="Heading3"/>
      </w:pPr>
      <w:r>
        <w:rPr>
          <w:rFonts w:ascii="Calibri" w:hAnsi="Calibri"/>
          <w:b/>
          <w:color w:val="3B4259"/>
          <w:sz w:val="24"/>
        </w:rPr>
        <w:t>Duke Energy (DUK) — Q1 2026 Earnings Call (May 5, 2026)</w:t>
      </w:r>
    </w:p>
    <w:p>
      <w:r>
        <w:rPr>
          <w:rFonts w:ascii="Calibri" w:hAnsi="Calibri"/>
          <w:b/>
          <w:color w:val="525866"/>
          <w:sz w:val="22"/>
        </w:rPr>
        <w:t xml:space="preserve">Read-Through Relevance: </w:t>
      </w:r>
      <w:r>
        <w:rPr>
          <w:rFonts w:ascii="Calibri" w:hAnsi="Calibri"/>
          <w:b/>
          <w:color w:val="002FA7"/>
          <w:sz w:val="22"/>
        </w:rPr>
        <w:t>MEDIUM</w:t>
      </w:r>
      <w:r>
        <w:rPr>
          <w:rFonts w:ascii="Calibri" w:hAnsi="Calibri"/>
          <w:color w:val="525866"/>
          <w:sz w:val="22"/>
        </w:rPr>
        <w:t xml:space="preserve"> — DUK’s Indiana territory overlaps with CNP’s Indiana Electric service area; DUK’s commentary on Indiana data center interest is directly relevant to CNP’s Indiana large load opportunity.</w:t>
      </w:r>
    </w:p>
    <w:p>
      <w:pPr>
        <w:pStyle w:val="ListBullet"/>
        <w:ind w:left="360" w:hanging="360"/>
      </w:pPr>
      <w:r>
        <w:rPr>
          <w:rFonts w:ascii="Calibri" w:hAnsi="Calibri"/>
          <w:b/>
          <w:color w:val="525866"/>
          <w:sz w:val="22"/>
        </w:rPr>
        <w:t>ESA Signings Accelerating:</w:t>
      </w:r>
      <w:r>
        <w:rPr>
          <w:rFonts w:ascii="Calibri" w:hAnsi="Calibri"/>
          <w:color w:val="525866"/>
          <w:sz w:val="22"/>
        </w:rPr>
        <w:t xml:space="preserve"> DUK signed an additional 2.7 GW of ESAs with data center customers in Q1 2026, bringing total executed agreements to ~7.6 GW (nearly 2/3 already under construction). Late-stage, high-confidence pipeline now at 15.4 GW. </w:t>
      </w:r>
      <w:r>
        <w:rPr>
          <w:rFonts w:ascii="Calibri" w:hAnsi="Calibri"/>
          <w:i/>
          <w:color w:val="525866"/>
          <w:sz w:val="22"/>
        </w:rPr>
        <w:t>CNP read-through:</w:t>
      </w:r>
      <w:r>
        <w:rPr>
          <w:rFonts w:ascii="Calibri" w:hAnsi="Calibri"/>
          <w:color w:val="525866"/>
          <w:sz w:val="22"/>
        </w:rPr>
        <w:t xml:space="preserve"> Data center demand is converting to signed agreements at an accelerating pace — supports CNP’s Indiana Electric large load customer opportunity moving toward a signed agreement.</w:t>
      </w:r>
    </w:p>
    <w:p>
      <w:pPr>
        <w:pStyle w:val="ListBullet"/>
        <w:ind w:left="360" w:hanging="360"/>
      </w:pPr>
      <w:r>
        <w:rPr>
          <w:rFonts w:ascii="Calibri" w:hAnsi="Calibri"/>
          <w:b/>
          <w:color w:val="525866"/>
          <w:sz w:val="22"/>
        </w:rPr>
        <w:t>Southern Indiana Called Out as Emerging Data Center Hub:</w:t>
      </w:r>
      <w:r>
        <w:rPr>
          <w:rFonts w:ascii="Calibri" w:hAnsi="Calibri"/>
          <w:color w:val="525866"/>
          <w:sz w:val="22"/>
        </w:rPr>
        <w:t xml:space="preserve"> DUK specifically called out “a lot of interest in… the southern part of Indiana” as an emerging data center hub alongside North Carolina and Florida. </w:t>
      </w:r>
      <w:r>
        <w:rPr>
          <w:rFonts w:ascii="Calibri" w:hAnsi="Calibri"/>
          <w:i/>
          <w:color w:val="525866"/>
          <w:sz w:val="22"/>
        </w:rPr>
        <w:t>CNP read-through:</w:t>
      </w:r>
      <w:r>
        <w:rPr>
          <w:rFonts w:ascii="Calibri" w:hAnsi="Calibri"/>
          <w:color w:val="525866"/>
          <w:sz w:val="22"/>
        </w:rPr>
        <w:t xml:space="preserve"> This is a direct read-through for CNP’s Indiana Electric territory — DUK’s commentary validates that CNP’s ~$1B Indiana CapEx opportunity is in a real demand hotspot, not an isolated opportunity.</w:t>
      </w:r>
    </w:p>
    <w:p>
      <w:pPr>
        <w:pStyle w:val="ListBullet"/>
        <w:ind w:left="360" w:hanging="360"/>
      </w:pPr>
      <w:r>
        <w:rPr>
          <w:rFonts w:ascii="Calibri" w:hAnsi="Calibri"/>
          <w:b/>
          <w:color w:val="525866"/>
          <w:sz w:val="22"/>
        </w:rPr>
        <w:t>Indiana CWIP Rider Implemented:</w:t>
      </w:r>
      <w:r>
        <w:rPr>
          <w:rFonts w:ascii="Calibri" w:hAnsi="Calibri"/>
          <w:color w:val="525866"/>
          <w:sz w:val="22"/>
        </w:rPr>
        <w:t xml:space="preserve"> DUK implemented a CWIP rider in Indiana for the Cayuga combined-cycle plant — a recovery mechanism that supports affordability and balance sheet strength. </w:t>
      </w:r>
      <w:r>
        <w:rPr>
          <w:rFonts w:ascii="Calibri" w:hAnsi="Calibri"/>
          <w:i/>
          <w:color w:val="525866"/>
          <w:sz w:val="22"/>
        </w:rPr>
        <w:t>CNP read-through:</w:t>
      </w:r>
      <w:r>
        <w:rPr>
          <w:rFonts w:ascii="Calibri" w:hAnsi="Calibri"/>
          <w:color w:val="525866"/>
          <w:sz w:val="22"/>
        </w:rPr>
        <w:t xml:space="preserve"> Indiana regulatory environment is supportive of large capital investments with timely recovery — positive for CNP’s Indiana rate case filings planned for Q4 2026.</w:t>
      </w:r>
    </w:p>
    <w:p>
      <w:pPr>
        <w:pStyle w:val="ListBullet"/>
        <w:ind w:left="360" w:hanging="360"/>
      </w:pPr>
      <w:r>
        <w:rPr>
          <w:rFonts w:ascii="Calibri" w:hAnsi="Calibri"/>
          <w:b/>
          <w:color w:val="525866"/>
          <w:sz w:val="22"/>
        </w:rPr>
        <w:t>Guidance Confidence in Back-End Acceleration:</w:t>
      </w:r>
      <w:r>
        <w:rPr>
          <w:rFonts w:ascii="Calibri" w:hAnsi="Calibri"/>
          <w:color w:val="525866"/>
          <w:sz w:val="22"/>
        </w:rPr>
        <w:t xml:space="preserve"> DUK reaffirmed FY2026 EPS guidance of $6.55–$6.80 and 5–7% long-term growth, with confidence to deliver in the top half of the range beginning in 2028. </w:t>
      </w:r>
      <w:r>
        <w:rPr>
          <w:rFonts w:ascii="Calibri" w:hAnsi="Calibri"/>
          <w:i/>
          <w:color w:val="525866"/>
          <w:sz w:val="22"/>
        </w:rPr>
        <w:t>CNP read-through:</w:t>
      </w:r>
      <w:r>
        <w:rPr>
          <w:rFonts w:ascii="Calibri" w:hAnsi="Calibri"/>
          <w:color w:val="525866"/>
          <w:sz w:val="22"/>
        </w:rPr>
        <w:t xml:space="preserve"> Peer confidence in back-end earnings acceleration mirrors CNP’s own narrative of mid-to-high end of 7–9% growth through 2028.</w:t>
      </w:r>
    </w:p>
    <w:p>
      <w:pPr>
        <w:pStyle w:val="Heading3"/>
      </w:pPr>
      <w:r>
        <w:rPr>
          <w:rFonts w:ascii="Calibri" w:hAnsi="Calibri"/>
          <w:b/>
          <w:color w:val="3B4259"/>
          <w:sz w:val="24"/>
        </w:rPr>
        <w:t>PG&amp;E (PCG) — Q2 2026 Earnings Call (July 23, 2026)</w:t>
      </w:r>
    </w:p>
    <w:p>
      <w:r>
        <w:rPr>
          <w:rFonts w:ascii="Calibri" w:hAnsi="Calibri"/>
          <w:b/>
          <w:color w:val="525866"/>
          <w:sz w:val="22"/>
        </w:rPr>
        <w:t xml:space="preserve">Read-Through Relevance: </w:t>
      </w:r>
      <w:r>
        <w:rPr>
          <w:rFonts w:ascii="Calibri" w:hAnsi="Calibri"/>
          <w:b/>
          <w:color w:val="002FA7"/>
          <w:sz w:val="22"/>
        </w:rPr>
        <w:t>LOW-MEDIUM</w:t>
      </w:r>
      <w:r>
        <w:rPr>
          <w:rFonts w:ascii="Calibri" w:hAnsi="Calibri"/>
          <w:color w:val="525866"/>
          <w:sz w:val="22"/>
        </w:rPr>
        <w:t xml:space="preserve"> — PCG operates in California (different regulatory/demand environment), but its data center pipeline commentary and large load tariff framework discussions are relevant to the national utility sector read.</w:t>
      </w:r>
    </w:p>
    <w:p>
      <w:pPr>
        <w:pStyle w:val="ListBullet"/>
        <w:ind w:left="360" w:hanging="360"/>
      </w:pPr>
      <w:r>
        <w:rPr>
          <w:rFonts w:ascii="Calibri" w:hAnsi="Calibri"/>
          <w:b/>
          <w:color w:val="525866"/>
          <w:sz w:val="22"/>
        </w:rPr>
        <w:t>Data Center Pipeline at 12+ GW:</w:t>
      </w:r>
      <w:r>
        <w:rPr>
          <w:rFonts w:ascii="Calibri" w:hAnsi="Calibri"/>
          <w:color w:val="525866"/>
          <w:sz w:val="22"/>
        </w:rPr>
        <w:t xml:space="preserve"> PCG’s data center pipeline stands at over 12 GW (up from 10 GW), with ~1.8 GW expected online by 2030. The company is focused on pricing large load correctly to be “rate-reducing for other customers.” </w:t>
      </w:r>
      <w:r>
        <w:rPr>
          <w:rFonts w:ascii="Calibri" w:hAnsi="Calibri"/>
          <w:i/>
          <w:color w:val="525866"/>
          <w:sz w:val="22"/>
        </w:rPr>
        <w:t>CNP read-through:</w:t>
      </w:r>
      <w:r>
        <w:rPr>
          <w:rFonts w:ascii="Calibri" w:hAnsi="Calibri"/>
          <w:color w:val="525866"/>
          <w:sz w:val="22"/>
        </w:rPr>
        <w:t xml:space="preserve"> Data center pipeline growth is broad-based nationally — not a Texas-specific phenomenon. CNP’s affordability narrative (Houston rates 11% below national average) is consistent with the national utility sector’s approach to large load.</w:t>
      </w:r>
    </w:p>
    <w:p>
      <w:pPr>
        <w:pStyle w:val="ListBullet"/>
        <w:ind w:left="360" w:hanging="360"/>
      </w:pPr>
      <w:r>
        <w:rPr>
          <w:rFonts w:ascii="Calibri" w:hAnsi="Calibri"/>
          <w:b/>
          <w:color w:val="525866"/>
          <w:sz w:val="22"/>
        </w:rPr>
        <w:t>Sector EPS Growth Visibility Intact:</w:t>
      </w:r>
      <w:r>
        <w:rPr>
          <w:rFonts w:ascii="Calibri" w:hAnsi="Calibri"/>
          <w:color w:val="525866"/>
          <w:sz w:val="22"/>
        </w:rPr>
        <w:t xml:space="preserve"> PCG reaffirmed FY2026 core EPS guidance of $1.64–$1.66 (+10% YoY) and 9%+ annual EPS growth from 2027–2030. </w:t>
      </w:r>
      <w:r>
        <w:rPr>
          <w:rFonts w:ascii="Calibri" w:hAnsi="Calibri"/>
          <w:i/>
          <w:color w:val="525866"/>
          <w:sz w:val="22"/>
        </w:rPr>
        <w:t>CNP read-through:</w:t>
      </w:r>
      <w:r>
        <w:rPr>
          <w:rFonts w:ascii="Calibri" w:hAnsi="Calibri"/>
          <w:color w:val="525866"/>
          <w:sz w:val="22"/>
        </w:rPr>
        <w:t xml:space="preserve"> Utility sector earnings growth visibility remains strong heading into Q2 2026 reporting season — no sector-wide headwinds emerging.</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 Date</w:t>
            </w:r>
          </w:p>
        </w:tc>
        <w:tc>
          <w:tcPr>
            <w:tcW w:type="dxa" w:w="1728"/>
            <w:shd w:val="clear" w:color="auto" w:fill="3B4259"/>
          </w:tcPr>
          <w:p>
            <w:r>
              <w:rPr>
                <w:rFonts w:ascii="Calibri" w:hAnsi="Calibri"/>
                <w:b/>
                <w:color w:val="FFFFFF"/>
                <w:sz w:val="22"/>
              </w:rPr>
              <w:t>Relevance</w:t>
            </w:r>
          </w:p>
        </w:tc>
        <w:tc>
          <w:tcPr>
            <w:tcW w:type="dxa" w:w="1728"/>
            <w:shd w:val="clear" w:color="auto" w:fill="3B4259"/>
          </w:tcPr>
          <w:p>
            <w:r>
              <w:rPr>
                <w:rFonts w:ascii="Calibri" w:hAnsi="Calibri"/>
                <w:b/>
                <w:color w:val="FFFFFF"/>
                <w:sz w:val="22"/>
              </w:rPr>
              <w:t>Key CNP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NEE</w:t>
            </w:r>
          </w:p>
        </w:tc>
        <w:tc>
          <w:tcPr>
            <w:tcW w:type="dxa" w:w="1728"/>
          </w:tcPr>
          <w:p>
            <w:r>
              <w:rPr>
                <w:rFonts w:ascii="Calibri" w:hAnsi="Calibri"/>
                <w:sz w:val="22"/>
              </w:rPr>
              <w:t>Q2 2026 Earnings (Jul 24)</w:t>
            </w:r>
          </w:p>
        </w:tc>
        <w:tc>
          <w:tcPr>
            <w:tcW w:type="dxa" w:w="1728"/>
          </w:tcPr>
          <w:p>
            <w:r>
              <w:rPr>
                <w:rFonts w:ascii="Calibri" w:hAnsi="Calibri"/>
                <w:sz w:val="22"/>
              </w:rPr>
              <w:t>HIGH</w:t>
            </w:r>
          </w:p>
        </w:tc>
        <w:tc>
          <w:tcPr>
            <w:tcW w:type="dxa" w:w="1728"/>
          </w:tcPr>
          <w:p>
            <w:r>
              <w:rPr>
                <w:rFonts w:ascii="Calibri" w:hAnsi="Calibri"/>
                <w:sz w:val="22"/>
              </w:rPr>
              <w:t>Large load demand accelerating; raised FPL outlook to 8 GW; Texas gas build-out ongoing</w:t>
            </w:r>
          </w:p>
        </w:tc>
        <w:tc>
          <w:tcPr>
            <w:tcW w:type="dxa" w:w="1728"/>
          </w:tcPr>
          <w:p>
            <w:r>
              <w:rPr>
                <w:rFonts w:ascii="Calibri" w:hAnsi="Calibri"/>
                <w:b/>
                <w:color w:val="30A46C"/>
                <w:sz w:val="22"/>
              </w:rPr>
              <w:t>Positive</w:t>
            </w:r>
          </w:p>
        </w:tc>
      </w:tr>
      <w:tr>
        <w:tc>
          <w:tcPr>
            <w:tcW w:type="dxa" w:w="1728"/>
          </w:tcPr>
          <w:p>
            <w:r>
              <w:rPr>
                <w:rFonts w:ascii="Calibri" w:hAnsi="Calibri"/>
                <w:sz w:val="22"/>
              </w:rPr>
              <w:t>AEP</w:t>
            </w:r>
          </w:p>
        </w:tc>
        <w:tc>
          <w:tcPr>
            <w:tcW w:type="dxa" w:w="1728"/>
          </w:tcPr>
          <w:p>
            <w:r>
              <w:rPr>
                <w:rFonts w:ascii="Calibri" w:hAnsi="Calibri"/>
                <w:sz w:val="22"/>
              </w:rPr>
              <w:t>Q1 2026 Earnings (May 5)</w:t>
            </w:r>
          </w:p>
        </w:tc>
        <w:tc>
          <w:tcPr>
            <w:tcW w:type="dxa" w:w="1728"/>
          </w:tcPr>
          <w:p>
            <w:r>
              <w:rPr>
                <w:rFonts w:ascii="Calibri" w:hAnsi="Calibri"/>
                <w:sz w:val="22"/>
              </w:rPr>
              <w:t>HIGH</w:t>
            </w:r>
          </w:p>
        </w:tc>
        <w:tc>
          <w:tcPr>
            <w:tcW w:type="dxa" w:w="1728"/>
          </w:tcPr>
          <w:p>
            <w:r>
              <w:rPr>
                <w:rFonts w:ascii="Calibri" w:hAnsi="Calibri"/>
                <w:sz w:val="22"/>
              </w:rPr>
              <w:t>ERCOT contracted load at 41 GW; capital plan raised to $78B; ERCOT bilateral structure is advantage</w:t>
            </w:r>
          </w:p>
        </w:tc>
        <w:tc>
          <w:tcPr>
            <w:tcW w:type="dxa" w:w="1728"/>
          </w:tcPr>
          <w:p>
            <w:r>
              <w:rPr>
                <w:rFonts w:ascii="Calibri" w:hAnsi="Calibri"/>
                <w:b/>
                <w:color w:val="30A46C"/>
                <w:sz w:val="22"/>
              </w:rPr>
              <w:t>Positive</w:t>
            </w:r>
          </w:p>
        </w:tc>
      </w:tr>
      <w:tr>
        <w:tc>
          <w:tcPr>
            <w:tcW w:type="dxa" w:w="1728"/>
          </w:tcPr>
          <w:p>
            <w:r>
              <w:rPr>
                <w:rFonts w:ascii="Calibri" w:hAnsi="Calibri"/>
                <w:sz w:val="22"/>
              </w:rPr>
              <w:t>ETR</w:t>
            </w:r>
          </w:p>
        </w:tc>
        <w:tc>
          <w:tcPr>
            <w:tcW w:type="dxa" w:w="1728"/>
          </w:tcPr>
          <w:p>
            <w:r>
              <w:rPr>
                <w:rFonts w:ascii="Calibri" w:hAnsi="Calibri"/>
                <w:sz w:val="22"/>
              </w:rPr>
              <w:t>Investor Day (Jun 9)</w:t>
            </w:r>
          </w:p>
        </w:tc>
        <w:tc>
          <w:tcPr>
            <w:tcW w:type="dxa" w:w="1728"/>
          </w:tcPr>
          <w:p>
            <w:r>
              <w:rPr>
                <w:rFonts w:ascii="Calibri" w:hAnsi="Calibri"/>
                <w:sz w:val="22"/>
              </w:rPr>
              <w:t>MEDIUM-HIGH</w:t>
            </w:r>
          </w:p>
        </w:tc>
        <w:tc>
          <w:tcPr>
            <w:tcW w:type="dxa" w:w="1728"/>
          </w:tcPr>
          <w:p>
            <w:r>
              <w:rPr>
                <w:rFonts w:ascii="Calibri" w:hAnsi="Calibri"/>
                <w:sz w:val="22"/>
              </w:rPr>
              <w:t>Gulf Coast industrial demand doubling; Meta $50B project; capital plan doubled to $67B</w:t>
            </w:r>
          </w:p>
        </w:tc>
        <w:tc>
          <w:tcPr>
            <w:tcW w:type="dxa" w:w="1728"/>
          </w:tcPr>
          <w:p>
            <w:r>
              <w:rPr>
                <w:rFonts w:ascii="Calibri" w:hAnsi="Calibri"/>
                <w:b/>
                <w:color w:val="30A46C"/>
                <w:sz w:val="22"/>
              </w:rPr>
              <w:t>Positive</w:t>
            </w:r>
          </w:p>
        </w:tc>
      </w:tr>
      <w:tr>
        <w:tc>
          <w:tcPr>
            <w:tcW w:type="dxa" w:w="1728"/>
          </w:tcPr>
          <w:p>
            <w:r>
              <w:rPr>
                <w:rFonts w:ascii="Calibri" w:hAnsi="Calibri"/>
                <w:sz w:val="22"/>
              </w:rPr>
              <w:t>DUK</w:t>
            </w:r>
          </w:p>
        </w:tc>
        <w:tc>
          <w:tcPr>
            <w:tcW w:type="dxa" w:w="1728"/>
          </w:tcPr>
          <w:p>
            <w:r>
              <w:rPr>
                <w:rFonts w:ascii="Calibri" w:hAnsi="Calibri"/>
                <w:sz w:val="22"/>
              </w:rPr>
              <w:t>Q1 2026 Earnings (May 5)</w:t>
            </w:r>
          </w:p>
        </w:tc>
        <w:tc>
          <w:tcPr>
            <w:tcW w:type="dxa" w:w="1728"/>
          </w:tcPr>
          <w:p>
            <w:r>
              <w:rPr>
                <w:rFonts w:ascii="Calibri" w:hAnsi="Calibri"/>
                <w:sz w:val="22"/>
              </w:rPr>
              <w:t>MEDIUM</w:t>
            </w:r>
          </w:p>
        </w:tc>
        <w:tc>
          <w:tcPr>
            <w:tcW w:type="dxa" w:w="1728"/>
          </w:tcPr>
          <w:p>
            <w:r>
              <w:rPr>
                <w:rFonts w:ascii="Calibri" w:hAnsi="Calibri"/>
                <w:sz w:val="22"/>
              </w:rPr>
              <w:t>Southern Indiana called out as data center hub; CWIP rider in Indiana; ESAs accelerating</w:t>
            </w:r>
          </w:p>
        </w:tc>
        <w:tc>
          <w:tcPr>
            <w:tcW w:type="dxa" w:w="1728"/>
          </w:tcPr>
          <w:p>
            <w:r>
              <w:rPr>
                <w:rFonts w:ascii="Calibri" w:hAnsi="Calibri"/>
                <w:b/>
                <w:color w:val="30A46C"/>
                <w:sz w:val="22"/>
              </w:rPr>
              <w:t>Positive</w:t>
            </w:r>
          </w:p>
        </w:tc>
      </w:tr>
      <w:tr>
        <w:tc>
          <w:tcPr>
            <w:tcW w:type="dxa" w:w="1728"/>
          </w:tcPr>
          <w:p>
            <w:r>
              <w:rPr>
                <w:rFonts w:ascii="Calibri" w:hAnsi="Calibri"/>
                <w:sz w:val="22"/>
              </w:rPr>
              <w:t>PCG</w:t>
            </w:r>
          </w:p>
        </w:tc>
        <w:tc>
          <w:tcPr>
            <w:tcW w:type="dxa" w:w="1728"/>
          </w:tcPr>
          <w:p>
            <w:r>
              <w:rPr>
                <w:rFonts w:ascii="Calibri" w:hAnsi="Calibri"/>
                <w:sz w:val="22"/>
              </w:rPr>
              <w:t>Q2 2026 Earnings (Jul 23)</w:t>
            </w:r>
          </w:p>
        </w:tc>
        <w:tc>
          <w:tcPr>
            <w:tcW w:type="dxa" w:w="1728"/>
          </w:tcPr>
          <w:p>
            <w:r>
              <w:rPr>
                <w:rFonts w:ascii="Calibri" w:hAnsi="Calibri"/>
                <w:sz w:val="22"/>
              </w:rPr>
              <w:t>LOW-MEDIUM</w:t>
            </w:r>
          </w:p>
        </w:tc>
        <w:tc>
          <w:tcPr>
            <w:tcW w:type="dxa" w:w="1728"/>
          </w:tcPr>
          <w:p>
            <w:r>
              <w:rPr>
                <w:rFonts w:ascii="Calibri" w:hAnsi="Calibri"/>
                <w:sz w:val="22"/>
              </w:rPr>
              <w:t>Data center pipeline at 12+ GW nationally; sector EPS growth visibility intact</w:t>
            </w:r>
          </w:p>
        </w:tc>
        <w:tc>
          <w:tcPr>
            <w:tcW w:type="dxa" w:w="1728"/>
          </w:tcPr>
          <w:p>
            <w:r>
              <w:rPr>
                <w:rFonts w:ascii="Calibri" w:hAnsi="Calibri"/>
                <w:sz w:val="22"/>
              </w:rPr>
              <w:t>Neutral/Positive</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