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CenterPoint Energy (CNP)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CenterPoint Energy, Inc.</w:t>
            </w:r>
          </w:p>
        </w:tc>
      </w:tr>
      <w:tr>
        <w:tc>
          <w:tcPr>
            <w:tcW w:type="dxa" w:w="4320"/>
          </w:tcPr>
          <w:p>
            <w:r>
              <w:rPr>
                <w:rFonts w:ascii="Calibri" w:hAnsi="Calibri"/>
                <w:b/>
                <w:sz w:val="22"/>
              </w:rPr>
              <w:t>Ticker</w:t>
            </w:r>
          </w:p>
        </w:tc>
        <w:tc>
          <w:tcPr>
            <w:tcW w:type="dxa" w:w="4320"/>
          </w:tcPr>
          <w:p>
            <w:r>
              <w:rPr>
                <w:rFonts w:ascii="Calibri" w:hAnsi="Calibri"/>
                <w:sz w:val="22"/>
              </w:rPr>
              <w:t>CNP (NYSE)</w:t>
            </w:r>
          </w:p>
        </w:tc>
      </w:tr>
      <w:tr>
        <w:tc>
          <w:tcPr>
            <w:tcW w:type="dxa" w:w="4320"/>
          </w:tcPr>
          <w:p>
            <w:r>
              <w:rPr>
                <w:rFonts w:ascii="Calibri" w:hAnsi="Calibri"/>
                <w:b/>
                <w:sz w:val="22"/>
              </w:rPr>
              <w:t>Upcoming Earnings Date</w:t>
            </w:r>
          </w:p>
        </w:tc>
        <w:tc>
          <w:tcPr>
            <w:tcW w:type="dxa" w:w="4320"/>
          </w:tcPr>
          <w:p>
            <w:r>
              <w:rPr>
                <w:rFonts w:ascii="Calibri" w:hAnsi="Calibri"/>
                <w:sz w:val="22"/>
              </w:rPr>
              <w:t>July 28, 2026 (8:00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28, 2026</w:t>
            </w:r>
          </w:p>
        </w:tc>
      </w:tr>
      <w:tr>
        <w:tc>
          <w:tcPr>
            <w:tcW w:type="dxa" w:w="4320"/>
          </w:tcPr>
          <w:p>
            <w:r>
              <w:rPr>
                <w:rFonts w:ascii="Calibri" w:hAnsi="Calibri"/>
                <w:b/>
                <w:sz w:val="22"/>
              </w:rPr>
              <w:t>Sector ETF Benchmark</w:t>
            </w:r>
          </w:p>
        </w:tc>
        <w:tc>
          <w:tcPr>
            <w:tcW w:type="dxa" w:w="4320"/>
          </w:tcPr>
          <w:p>
            <w:r>
              <w:rPr>
                <w:rFonts w:ascii="Calibri" w:hAnsi="Calibri"/>
                <w:sz w:val="22"/>
              </w:rPr>
              <w:t>XLU (Utilities Select Sector SPDR)</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into Q2 2026 is modestly constructive — consensus EPS of ~$0.38 is a manageable bar, management guided to deliver at or above the midpoint of the full-year range, and the dominant narrative will be whether the </w:t>
      </w:r>
      <w:r>
        <w:rPr>
          <w:rFonts w:ascii="Calibri" w:hAnsi="Calibri"/>
          <w:b/>
          <w:color w:val="525866"/>
          <w:sz w:val="22"/>
        </w:rPr>
        <w:t>Houston Electric load growth story</w:t>
      </w:r>
      <w:r>
        <w:rPr>
          <w:rFonts w:ascii="Calibri" w:hAnsi="Calibri"/>
          <w:color w:val="525866"/>
          <w:sz w:val="22"/>
        </w:rPr>
        <w:t xml:space="preserve"> continues to accelerate beyond the 12.2 GW of firmly committed load disclosed at Q1.</w:t>
      </w:r>
    </w:p>
    <w:p>
      <w:r>
        <w:rPr>
          <w:rFonts w:ascii="Calibri" w:hAnsi="Calibri"/>
          <w:color w:val="525866"/>
          <w:sz w:val="22"/>
        </w:rPr>
        <w:t xml:space="preserve">Heading into Q2 2026, CenterPoint's setup is defined more by the load growth narrative than by the quarterly EPS print itself. Consensus non-GAAP EPS of ~$0.38 represents a modest bar — below the $0.56 reported in Q1 (a seasonally stronger quarter) and roughly in line with the $0.29 reported in Q2 2025, implying meaningful year-over-year growth driven by regulatory rate recovery. Management reiterated full-year 2026 non-GAAP EPS guidance of </w:t>
      </w:r>
      <w:r>
        <w:rPr>
          <w:rFonts w:ascii="Calibri" w:hAnsi="Calibri"/>
          <w:b/>
          <w:color w:val="525866"/>
          <w:sz w:val="22"/>
        </w:rPr>
        <w:t>$1.89–$1.91</w:t>
      </w:r>
      <w:r>
        <w:rPr>
          <w:rFonts w:ascii="Calibri" w:hAnsi="Calibri"/>
          <w:color w:val="525866"/>
          <w:sz w:val="22"/>
        </w:rPr>
        <w:t xml:space="preserve"> on the Q1 call and expressed confidence in delivering at or above the midpoint, leaving little room for a guidance cut but also limited upside surprise on the number itself. Estimate revisions have been range-bound since Q1 earnings — the July consensus of ~$0.378 is essentially flat to the April post-print level of ~$0.388 — suggesting the street is not pricing in a meaningful beat or miss. The stock has drifted roughly flat to slightly higher since the April 23 print (from ~$43.18 to ~$44.01), underperforming the S&amp;P 500 but broadly in line with XLU, indicating the market is waiting for the next catalyst rather than pricing in a beat. The </w:t>
      </w:r>
      <w:r>
        <w:rPr>
          <w:rFonts w:ascii="Calibri" w:hAnsi="Calibri"/>
          <w:b/>
          <w:color w:val="525866"/>
          <w:sz w:val="22"/>
        </w:rPr>
        <w:t>key wildcard</w:t>
      </w:r>
      <w:r>
        <w:rPr>
          <w:rFonts w:ascii="Calibri" w:hAnsi="Calibri"/>
          <w:color w:val="525866"/>
          <w:sz w:val="22"/>
        </w:rPr>
        <w:t xml:space="preserve"> is the H2 2026 transmission planning study update: management flagged a refresh load study expected to complete in H2 2026 that could unlock a new tranche of incremental CapEx announcements — a positive surprise here would be the single biggest upside catalyst for the stock.</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non-GAAP EPS of ~$0.38 is a low-to-moderate bar with year-over-year growth baked in; the bigger swing factor is the </w:t>
      </w:r>
      <w:r>
        <w:rPr>
          <w:rFonts w:ascii="Calibri" w:hAnsi="Calibri"/>
          <w:b/>
          <w:color w:val="525866"/>
          <w:sz w:val="22"/>
        </w:rPr>
        <w:t>Houston Electric industrial throughput and load growth update</w:t>
      </w:r>
      <w:r>
        <w:rPr>
          <w:rFonts w:ascii="Calibri" w:hAnsi="Calibri"/>
          <w:color w:val="525866"/>
          <w:sz w:val="22"/>
        </w:rPr>
        <w:t>, which drove the stock reaction at Q1 and is likely to do so again.</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Non-GAAP EPS — Diluted Operating ($)</w:t>
            </w:r>
          </w:p>
        </w:tc>
        <w:tc>
          <w:tcPr>
            <w:tcW w:type="dxa" w:w="1234"/>
          </w:tcPr>
          <w:p>
            <w:r>
              <w:rPr>
                <w:rFonts w:ascii="Calibri" w:hAnsi="Calibri"/>
                <w:sz w:val="22"/>
              </w:rPr>
              <w:t>$0.56</w:t>
            </w:r>
          </w:p>
        </w:tc>
        <w:tc>
          <w:tcPr>
            <w:tcW w:type="dxa" w:w="1234"/>
          </w:tcPr>
          <w:p>
            <w:r>
              <w:rPr>
                <w:rFonts w:ascii="Calibri" w:hAnsi="Calibri"/>
                <w:sz w:val="22"/>
              </w:rPr>
              <w:t>$0.29</w:t>
            </w:r>
          </w:p>
        </w:tc>
        <w:tc>
          <w:tcPr>
            <w:tcW w:type="dxa" w:w="1234"/>
          </w:tcPr>
          <w:p>
            <w:r>
              <w:rPr>
                <w:rFonts w:ascii="Calibri" w:hAnsi="Calibri"/>
                <w:sz w:val="22"/>
              </w:rPr>
              <w:t>$0.378</w:t>
            </w:r>
          </w:p>
        </w:tc>
        <w:tc>
          <w:tcPr>
            <w:tcW w:type="dxa" w:w="1234"/>
          </w:tcPr>
          <w:p>
            <w:r>
              <w:rPr>
                <w:rFonts w:ascii="Calibri" w:hAnsi="Calibri"/>
                <w:b/>
                <w:color w:val="30A46C"/>
                <w:sz w:val="22"/>
              </w:rPr>
              <w:t>+30.3% YoY</w:t>
            </w:r>
          </w:p>
        </w:tc>
        <w:tc>
          <w:tcPr>
            <w:tcW w:type="dxa" w:w="1234"/>
          </w:tcPr>
          <w:p>
            <w:r>
              <w:rPr>
                <w:rFonts w:ascii="Calibri" w:hAnsi="Calibri"/>
                <w:sz w:val="22"/>
              </w:rPr>
              <w:t>$1.89–$1.91 (FY)</w:t>
            </w:r>
          </w:p>
        </w:tc>
        <w:tc>
          <w:tcPr>
            <w:tcW w:type="dxa" w:w="1234"/>
          </w:tcPr>
          <w:p>
            <w:r>
              <w:rPr>
                <w:rFonts w:ascii="Calibri" w:hAnsi="Calibri"/>
                <w:sz w:val="22"/>
              </w:rPr>
              <w:t>~$0.378 vs. $1.90 midpoint; Q2 implies ~20% of FY</w:t>
            </w:r>
          </w:p>
        </w:tc>
      </w:tr>
      <w:tr>
        <w:tc>
          <w:tcPr>
            <w:tcW w:type="dxa" w:w="1234"/>
          </w:tcPr>
          <w:p>
            <w:r>
              <w:rPr>
                <w:rFonts w:ascii="Calibri" w:hAnsi="Calibri"/>
                <w:sz w:val="22"/>
              </w:rPr>
              <w:t>Total Revenue ($B)</w:t>
            </w:r>
          </w:p>
        </w:tc>
        <w:tc>
          <w:tcPr>
            <w:tcW w:type="dxa" w:w="1234"/>
          </w:tcPr>
          <w:p>
            <w:r>
              <w:rPr>
                <w:rFonts w:ascii="Calibri" w:hAnsi="Calibri"/>
                <w:sz w:val="22"/>
              </w:rPr>
              <w:t>$2.975B</w:t>
            </w:r>
          </w:p>
        </w:tc>
        <w:tc>
          <w:tcPr>
            <w:tcW w:type="dxa" w:w="1234"/>
          </w:tcPr>
          <w:p>
            <w:r>
              <w:rPr>
                <w:rFonts w:ascii="Calibri" w:hAnsi="Calibri"/>
                <w:sz w:val="22"/>
              </w:rPr>
              <w:t>$1.944B</w:t>
            </w:r>
          </w:p>
        </w:tc>
        <w:tc>
          <w:tcPr>
            <w:tcW w:type="dxa" w:w="1234"/>
          </w:tcPr>
          <w:p>
            <w:r>
              <w:rPr>
                <w:rFonts w:ascii="Calibri" w:hAnsi="Calibri"/>
                <w:sz w:val="22"/>
              </w:rPr>
              <w:t>$2.249B</w:t>
            </w:r>
          </w:p>
        </w:tc>
        <w:tc>
          <w:tcPr>
            <w:tcW w:type="dxa" w:w="1234"/>
          </w:tcPr>
          <w:p>
            <w:r>
              <w:rPr>
                <w:rFonts w:ascii="Calibri" w:hAnsi="Calibri"/>
                <w:b/>
                <w:color w:val="30A46C"/>
                <w:sz w:val="22"/>
              </w:rPr>
              <w:t>+15.7% YoY</w:t>
            </w:r>
          </w:p>
        </w:tc>
        <w:tc>
          <w:tcPr>
            <w:tcW w:type="dxa" w:w="1234"/>
          </w:tcPr>
          <w:p>
            <w:r>
              <w:rPr>
                <w:rFonts w:ascii="Calibri" w:hAnsi="Calibri"/>
                <w:sz w:val="22"/>
              </w:rPr>
              <w:t>N/A — not guided quarterly</w:t>
            </w:r>
          </w:p>
        </w:tc>
        <w:tc>
          <w:tcPr>
            <w:tcW w:type="dxa" w:w="1234"/>
          </w:tcPr>
          <w:p>
            <w:r>
              <w:rPr>
                <w:rFonts w:ascii="Calibri" w:hAnsi="Calibri"/>
                <w:sz w:val="22"/>
              </w:rPr>
              <w:t>N/A</w:t>
            </w:r>
          </w:p>
        </w:tc>
      </w:tr>
      <w:tr>
        <w:tc>
          <w:tcPr>
            <w:tcW w:type="dxa" w:w="1234"/>
          </w:tcPr>
          <w:p>
            <w:r>
              <w:rPr>
                <w:rFonts w:ascii="Calibri" w:hAnsi="Calibri"/>
                <w:sz w:val="22"/>
              </w:rPr>
              <w:t>Capital Additions ($B)</w:t>
            </w:r>
          </w:p>
        </w:tc>
        <w:tc>
          <w:tcPr>
            <w:tcW w:type="dxa" w:w="1234"/>
          </w:tcPr>
          <w:p>
            <w:r>
              <w:rPr>
                <w:rFonts w:ascii="Calibri" w:hAnsi="Calibri"/>
                <w:sz w:val="22"/>
              </w:rPr>
              <w:t>$1.198B</w:t>
            </w:r>
          </w:p>
        </w:tc>
        <w:tc>
          <w:tcPr>
            <w:tcW w:type="dxa" w:w="1234"/>
          </w:tcPr>
          <w:p>
            <w:r>
              <w:rPr>
                <w:rFonts w:ascii="Calibri" w:hAnsi="Calibri"/>
                <w:sz w:val="22"/>
              </w:rPr>
              <w:t>$1.129B</w:t>
            </w:r>
          </w:p>
        </w:tc>
        <w:tc>
          <w:tcPr>
            <w:tcW w:type="dxa" w:w="1234"/>
          </w:tcPr>
          <w:p>
            <w:r>
              <w:rPr>
                <w:rFonts w:ascii="Calibri" w:hAnsi="Calibri"/>
                <w:sz w:val="22"/>
              </w:rPr>
              <w:t>$1.761B</w:t>
            </w:r>
          </w:p>
        </w:tc>
        <w:tc>
          <w:tcPr>
            <w:tcW w:type="dxa" w:w="1234"/>
          </w:tcPr>
          <w:p>
            <w:r>
              <w:rPr>
                <w:rFonts w:ascii="Calibri" w:hAnsi="Calibri"/>
                <w:b/>
                <w:color w:val="30A46C"/>
                <w:sz w:val="22"/>
              </w:rPr>
              <w:t>+55.9% YoY</w:t>
            </w:r>
          </w:p>
        </w:tc>
        <w:tc>
          <w:tcPr>
            <w:tcW w:type="dxa" w:w="1234"/>
          </w:tcPr>
          <w:p>
            <w:r>
              <w:rPr>
                <w:rFonts w:ascii="Calibri" w:hAnsi="Calibri"/>
                <w:sz w:val="22"/>
              </w:rPr>
              <w:t>$6.8B (FY 2026)</w:t>
            </w:r>
          </w:p>
        </w:tc>
        <w:tc>
          <w:tcPr>
            <w:tcW w:type="dxa" w:w="1234"/>
          </w:tcPr>
          <w:p>
            <w:r>
              <w:rPr>
                <w:rFonts w:ascii="Calibri" w:hAnsi="Calibri"/>
                <w:sz w:val="22"/>
              </w:rPr>
              <w:t>Q2 consensus implies ~26% of FY plan; on track</w:t>
            </w:r>
          </w:p>
        </w:tc>
      </w:tr>
      <w:tr>
        <w:tc>
          <w:tcPr>
            <w:tcW w:type="dxa" w:w="1234"/>
          </w:tcPr>
          <w:p>
            <w:r>
              <w:rPr>
                <w:rFonts w:ascii="Calibri" w:hAnsi="Calibri"/>
                <w:sz w:val="22"/>
              </w:rPr>
              <w:t>FFO / Total Debt (%)</w:t>
            </w:r>
          </w:p>
        </w:tc>
        <w:tc>
          <w:tcPr>
            <w:tcW w:type="dxa" w:w="1234"/>
          </w:tcPr>
          <w:p>
            <w:r>
              <w:rPr>
                <w:rFonts w:ascii="Calibri" w:hAnsi="Calibri"/>
                <w:sz w:val="22"/>
              </w:rPr>
              <w:t>11.26%</w:t>
            </w:r>
          </w:p>
        </w:tc>
        <w:tc>
          <w:tcPr>
            <w:tcW w:type="dxa" w:w="1234"/>
          </w:tcPr>
          <w:p>
            <w:r>
              <w:rPr>
                <w:rFonts w:ascii="Calibri" w:hAnsi="Calibri"/>
                <w:sz w:val="22"/>
              </w:rPr>
              <w:t>14.1%</w:t>
            </w:r>
          </w:p>
        </w:tc>
        <w:tc>
          <w:tcPr>
            <w:tcW w:type="dxa" w:w="1234"/>
          </w:tcPr>
          <w:p>
            <w:r>
              <w:rPr>
                <w:rFonts w:ascii="Calibri" w:hAnsi="Calibri"/>
                <w:sz w:val="22"/>
              </w:rPr>
              <w:t>11.65%</w:t>
            </w:r>
          </w:p>
        </w:tc>
        <w:tc>
          <w:tcPr>
            <w:tcW w:type="dxa" w:w="1234"/>
          </w:tcPr>
          <w:p>
            <w:r>
              <w:rPr>
                <w:rFonts w:ascii="Calibri" w:hAnsi="Calibri"/>
                <w:b/>
                <w:color w:val="E5484D"/>
                <w:sz w:val="22"/>
              </w:rPr>
              <w:t>-248 bps YoY</w:t>
            </w:r>
          </w:p>
        </w:tc>
        <w:tc>
          <w:tcPr>
            <w:tcW w:type="dxa" w:w="1234"/>
          </w:tcPr>
          <w:p>
            <w:r>
              <w:rPr>
                <w:rFonts w:ascii="Calibri" w:hAnsi="Calibri"/>
                <w:sz w:val="22"/>
              </w:rPr>
              <w:t>Target: high end of cushion by YE 2026</w:t>
            </w:r>
          </w:p>
        </w:tc>
        <w:tc>
          <w:tcPr>
            <w:tcW w:type="dxa" w:w="1234"/>
          </w:tcPr>
          <w:p>
            <w:r>
              <w:rPr>
                <w:rFonts w:ascii="Calibri" w:hAnsi="Calibri"/>
                <w:sz w:val="22"/>
              </w:rPr>
              <w:t>Below prior year; recovery expected H2 2026</w:t>
            </w:r>
          </w:p>
        </w:tc>
      </w:tr>
      <w:tr>
        <w:tc>
          <w:tcPr>
            <w:tcW w:type="dxa" w:w="1234"/>
          </w:tcPr>
          <w:p>
            <w:r>
              <w:rPr>
                <w:rFonts w:ascii="Calibri" w:hAnsi="Calibri"/>
                <w:sz w:val="22"/>
              </w:rPr>
              <w:t>Electric T&amp;D Throughput — C&amp;I (GWh)</w:t>
            </w:r>
          </w:p>
        </w:tc>
        <w:tc>
          <w:tcPr>
            <w:tcW w:type="dxa" w:w="1234"/>
          </w:tcPr>
          <w:p>
            <w:r>
              <w:rPr>
                <w:rFonts w:ascii="Calibri" w:hAnsi="Calibri"/>
                <w:sz w:val="22"/>
              </w:rPr>
              <w:t>18,559 GWh</w:t>
            </w:r>
          </w:p>
        </w:tc>
        <w:tc>
          <w:tcPr>
            <w:tcW w:type="dxa" w:w="1234"/>
          </w:tcPr>
          <w:p>
            <w:r>
              <w:rPr>
                <w:rFonts w:ascii="Calibri" w:hAnsi="Calibri"/>
                <w:sz w:val="22"/>
              </w:rPr>
              <w:t>20,725 GWh</w:t>
            </w:r>
          </w:p>
        </w:tc>
        <w:tc>
          <w:tcPr>
            <w:tcW w:type="dxa" w:w="1234"/>
          </w:tcPr>
          <w:p>
            <w:r>
              <w:rPr>
                <w:rFonts w:ascii="Calibri" w:hAnsi="Calibri"/>
                <w:sz w:val="22"/>
              </w:rPr>
              <w:t>69,726 GWh (annualized consensus)</w:t>
            </w:r>
          </w:p>
        </w:tc>
        <w:tc>
          <w:tcPr>
            <w:tcW w:type="dxa" w:w="1234"/>
          </w:tcPr>
          <w:p>
            <w:r>
              <w:rPr>
                <w:rFonts w:ascii="Calibri" w:hAnsi="Calibri"/>
                <w:sz w:val="22"/>
              </w:rPr>
              <w:t>N/A — quarterly consensus not available</w:t>
            </w:r>
          </w:p>
        </w:tc>
        <w:tc>
          <w:tcPr>
            <w:tcW w:type="dxa" w:w="1234"/>
          </w:tcPr>
          <w:p>
            <w:r>
              <w:rPr>
                <w:rFonts w:ascii="Calibri" w:hAnsi="Calibri"/>
                <w:sz w:val="22"/>
              </w:rPr>
              <w:t>N/A — not guided quarterly</w:t>
            </w:r>
          </w:p>
        </w:tc>
        <w:tc>
          <w:tcPr>
            <w:tcW w:type="dxa" w:w="1234"/>
          </w:tcPr>
          <w:p>
            <w:r>
              <w:rPr>
                <w:rFonts w:ascii="Calibri" w:hAnsi="Calibri"/>
                <w:sz w:val="22"/>
              </w:rPr>
              <w:t>N/A</w:t>
            </w:r>
          </w:p>
        </w:tc>
      </w:tr>
    </w:tbl>
    <w:p>
      <w:r>
        <w:rPr>
          <w:rFonts w:ascii="Calibri" w:hAnsi="Calibri"/>
          <w:b/>
          <w:color w:val="525866"/>
          <w:sz w:val="22"/>
        </w:rPr>
        <w:t xml:space="preserve">Sources: </w:t>
      </w:r>
      <w:r>
        <w:rPr>
          <w:rFonts w:ascii="Calibri" w:hAnsi="Calibri"/>
          <w:color w:val="525866"/>
          <w:sz w:val="22"/>
        </w:rPr>
        <w:t>Visible Alpha Consensus and Actuals Data (EPS — Diluted — Operating, Total Revenue, Capital Additions, FFO/Total Debt, Electric T&amp;D Throughput). Q1 2026 actuals and Q2 2026 consensus as of July 28, 2026. FY 2026 guidance from Q1 2026 earnings call (April 23, 2026).</w:t>
      </w:r>
    </w:p>
    <w:p>
      <w:pPr>
        <w:pStyle w:val="Heading3"/>
      </w:pPr>
      <w:r>
        <w:rPr>
          <w:rFonts w:ascii="Calibri" w:hAnsi="Calibri"/>
          <w:b/>
          <w:color w:val="3B4259"/>
          <w:sz w:val="24"/>
        </w:rPr>
        <w:t>Table 2 — Beat/Miss History: Non-GAAP EPS (Last 8 Quarters)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$0.56</w:t>
            </w:r>
          </w:p>
        </w:tc>
        <w:tc>
          <w:tcPr>
            <w:tcW w:type="dxa" w:w="1728"/>
          </w:tcPr>
          <w:p>
            <w:r>
              <w:rPr>
                <w:rFonts w:ascii="Calibri" w:hAnsi="Calibri"/>
                <w:sz w:val="22"/>
              </w:rPr>
              <w:t>$0.550</w:t>
            </w:r>
          </w:p>
        </w:tc>
        <w:tc>
          <w:tcPr>
            <w:tcW w:type="dxa" w:w="1728"/>
          </w:tcPr>
          <w:p>
            <w:r>
              <w:rPr>
                <w:rFonts w:ascii="Calibri" w:hAnsi="Calibri"/>
                <w:b/>
                <w:color w:val="30A46C"/>
                <w:sz w:val="22"/>
              </w:rPr>
              <w:t>+1.8%</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$0.447</w:t>
            </w:r>
          </w:p>
        </w:tc>
        <w:tc>
          <w:tcPr>
            <w:tcW w:type="dxa" w:w="1728"/>
          </w:tcPr>
          <w:p>
            <w:r>
              <w:rPr>
                <w:rFonts w:ascii="Calibri" w:hAnsi="Calibri"/>
                <w:sz w:val="22"/>
              </w:rPr>
              <w:t>$0.454</w:t>
            </w:r>
          </w:p>
        </w:tc>
        <w:tc>
          <w:tcPr>
            <w:tcW w:type="dxa" w:w="1728"/>
          </w:tcPr>
          <w:p>
            <w:r>
              <w:rPr>
                <w:rFonts w:ascii="Calibri" w:hAnsi="Calibri"/>
                <w:b/>
                <w:color w:val="E5484D"/>
                <w:sz w:val="22"/>
              </w:rPr>
              <w:t>-1.5%</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$0.500</w:t>
            </w:r>
          </w:p>
        </w:tc>
        <w:tc>
          <w:tcPr>
            <w:tcW w:type="dxa" w:w="1728"/>
          </w:tcPr>
          <w:p>
            <w:r>
              <w:rPr>
                <w:rFonts w:ascii="Calibri" w:hAnsi="Calibri"/>
                <w:sz w:val="22"/>
              </w:rPr>
              <w:t>$0.446</w:t>
            </w:r>
          </w:p>
        </w:tc>
        <w:tc>
          <w:tcPr>
            <w:tcW w:type="dxa" w:w="1728"/>
          </w:tcPr>
          <w:p>
            <w:r>
              <w:rPr>
                <w:rFonts w:ascii="Calibri" w:hAnsi="Calibri"/>
                <w:b/>
                <w:color w:val="30A46C"/>
                <w:sz w:val="22"/>
              </w:rPr>
              <w:t>+12.1%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$0.290</w:t>
            </w:r>
          </w:p>
        </w:tc>
        <w:tc>
          <w:tcPr>
            <w:tcW w:type="dxa" w:w="1728"/>
          </w:tcPr>
          <w:p>
            <w:r>
              <w:rPr>
                <w:rFonts w:ascii="Calibri" w:hAnsi="Calibri"/>
                <w:sz w:val="22"/>
              </w:rPr>
              <w:t>$0.338</w:t>
            </w:r>
          </w:p>
        </w:tc>
        <w:tc>
          <w:tcPr>
            <w:tcW w:type="dxa" w:w="1728"/>
          </w:tcPr>
          <w:p>
            <w:r>
              <w:rPr>
                <w:rFonts w:ascii="Calibri" w:hAnsi="Calibri"/>
                <w:b/>
                <w:color w:val="E5484D"/>
                <w:sz w:val="22"/>
              </w:rPr>
              <w:t>-14.2%</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$0.530</w:t>
            </w:r>
          </w:p>
        </w:tc>
        <w:tc>
          <w:tcPr>
            <w:tcW w:type="dxa" w:w="1728"/>
          </w:tcPr>
          <w:p>
            <w:r>
              <w:rPr>
                <w:rFonts w:ascii="Calibri" w:hAnsi="Calibri"/>
                <w:sz w:val="22"/>
              </w:rPr>
              <w:t>$0.534</w:t>
            </w:r>
          </w:p>
        </w:tc>
        <w:tc>
          <w:tcPr>
            <w:tcW w:type="dxa" w:w="1728"/>
          </w:tcPr>
          <w:p>
            <w:r>
              <w:rPr>
                <w:rFonts w:ascii="Calibri" w:hAnsi="Calibri"/>
                <w:b/>
                <w:color w:val="E5484D"/>
                <w:sz w:val="22"/>
              </w:rPr>
              <w:t>-0.7%</w:t>
            </w:r>
          </w:p>
        </w:tc>
        <w:tc>
          <w:tcPr>
            <w:tcW w:type="dxa" w:w="1728"/>
          </w:tcPr>
          <w:p>
            <w:r>
              <w:rPr>
                <w:rFonts w:ascii="Calibri" w:hAnsi="Calibri"/>
                <w:sz w:val="22"/>
              </w:rPr>
              <w:t>Slight Miss</w:t>
            </w:r>
          </w:p>
        </w:tc>
      </w:tr>
      <w:tr>
        <w:tc>
          <w:tcPr>
            <w:tcW w:type="dxa" w:w="1728"/>
          </w:tcPr>
          <w:p>
            <w:r>
              <w:rPr>
                <w:rFonts w:ascii="Calibri" w:hAnsi="Calibri"/>
                <w:sz w:val="22"/>
              </w:rPr>
              <w:t>Q4 2024</w:t>
            </w:r>
          </w:p>
        </w:tc>
        <w:tc>
          <w:tcPr>
            <w:tcW w:type="dxa" w:w="1728"/>
          </w:tcPr>
          <w:p>
            <w:r>
              <w:rPr>
                <w:rFonts w:ascii="Calibri" w:hAnsi="Calibri"/>
                <w:sz w:val="22"/>
              </w:rPr>
              <w:t>$0.400</w:t>
            </w:r>
          </w:p>
        </w:tc>
        <w:tc>
          <w:tcPr>
            <w:tcW w:type="dxa" w:w="1728"/>
          </w:tcPr>
          <w:p>
            <w:r>
              <w:rPr>
                <w:rFonts w:ascii="Calibri" w:hAnsi="Calibri"/>
                <w:sz w:val="22"/>
              </w:rPr>
              <w:t>$0.403</w:t>
            </w:r>
          </w:p>
        </w:tc>
        <w:tc>
          <w:tcPr>
            <w:tcW w:type="dxa" w:w="1728"/>
          </w:tcPr>
          <w:p>
            <w:r>
              <w:rPr>
                <w:rFonts w:ascii="Calibri" w:hAnsi="Calibri"/>
                <w:b/>
                <w:color w:val="E5484D"/>
                <w:sz w:val="22"/>
              </w:rPr>
              <w:t>-0.7%</w:t>
            </w:r>
          </w:p>
        </w:tc>
        <w:tc>
          <w:tcPr>
            <w:tcW w:type="dxa" w:w="1728"/>
          </w:tcPr>
          <w:p>
            <w:r>
              <w:rPr>
                <w:rFonts w:ascii="Calibri" w:hAnsi="Calibri"/>
                <w:sz w:val="22"/>
              </w:rPr>
              <w:t>Slight Miss</w:t>
            </w:r>
          </w:p>
        </w:tc>
      </w:tr>
      <w:tr>
        <w:tc>
          <w:tcPr>
            <w:tcW w:type="dxa" w:w="1728"/>
          </w:tcPr>
          <w:p>
            <w:r>
              <w:rPr>
                <w:rFonts w:ascii="Calibri" w:hAnsi="Calibri"/>
                <w:sz w:val="22"/>
              </w:rPr>
              <w:t>Q3 2024</w:t>
            </w:r>
          </w:p>
        </w:tc>
        <w:tc>
          <w:tcPr>
            <w:tcW w:type="dxa" w:w="1728"/>
          </w:tcPr>
          <w:p>
            <w:r>
              <w:rPr>
                <w:rFonts w:ascii="Calibri" w:hAnsi="Calibri"/>
                <w:sz w:val="22"/>
              </w:rPr>
              <w:t>$0.310</w:t>
            </w:r>
          </w:p>
        </w:tc>
        <w:tc>
          <w:tcPr>
            <w:tcW w:type="dxa" w:w="1728"/>
          </w:tcPr>
          <w:p>
            <w:r>
              <w:rPr>
                <w:rFonts w:ascii="Calibri" w:hAnsi="Calibri"/>
                <w:sz w:val="22"/>
              </w:rPr>
              <w:t>$0.322</w:t>
            </w:r>
          </w:p>
        </w:tc>
        <w:tc>
          <w:tcPr>
            <w:tcW w:type="dxa" w:w="1728"/>
          </w:tcPr>
          <w:p>
            <w:r>
              <w:rPr>
                <w:rFonts w:ascii="Calibri" w:hAnsi="Calibri"/>
                <w:b/>
                <w:color w:val="E5484D"/>
                <w:sz w:val="22"/>
              </w:rPr>
              <w:t>-3.7%</w:t>
            </w:r>
          </w:p>
        </w:tc>
        <w:tc>
          <w:tcPr>
            <w:tcW w:type="dxa" w:w="1728"/>
          </w:tcPr>
          <w:p>
            <w:r>
              <w:rPr>
                <w:rFonts w:ascii="Calibri" w:hAnsi="Calibri"/>
                <w:sz w:val="22"/>
              </w:rPr>
              <w:t>Miss</w:t>
            </w:r>
          </w:p>
        </w:tc>
      </w:tr>
      <w:tr>
        <w:tc>
          <w:tcPr>
            <w:tcW w:type="dxa" w:w="1728"/>
          </w:tcPr>
          <w:p>
            <w:r>
              <w:rPr>
                <w:rFonts w:ascii="Calibri" w:hAnsi="Calibri"/>
                <w:sz w:val="22"/>
              </w:rPr>
              <w:t>Q2 2024</w:t>
            </w:r>
          </w:p>
        </w:tc>
        <w:tc>
          <w:tcPr>
            <w:tcW w:type="dxa" w:w="1728"/>
          </w:tcPr>
          <w:p>
            <w:r>
              <w:rPr>
                <w:rFonts w:ascii="Calibri" w:hAnsi="Calibri"/>
                <w:sz w:val="22"/>
              </w:rPr>
              <w:t>$0.290</w:t>
            </w:r>
          </w:p>
        </w:tc>
        <w:tc>
          <w:tcPr>
            <w:tcW w:type="dxa" w:w="1728"/>
          </w:tcPr>
          <w:p>
            <w:r>
              <w:rPr>
                <w:rFonts w:ascii="Calibri" w:hAnsi="Calibri"/>
                <w:sz w:val="22"/>
              </w:rPr>
              <w:t>$0.338</w:t>
            </w:r>
          </w:p>
        </w:tc>
        <w:tc>
          <w:tcPr>
            <w:tcW w:type="dxa" w:w="1728"/>
          </w:tcPr>
          <w:p>
            <w:r>
              <w:rPr>
                <w:rFonts w:ascii="Calibri" w:hAnsi="Calibri"/>
                <w:sz w:val="22"/>
              </w:rPr>
              <w:t>N/A — prior year same period</w:t>
            </w:r>
          </w:p>
        </w:tc>
        <w:tc>
          <w:tcPr>
            <w:tcW w:type="dxa" w:w="1728"/>
          </w:tcPr>
          <w:p>
            <w:r>
              <w:rPr>
                <w:rFonts w:ascii="Calibri" w:hAnsi="Calibri"/>
                <w:sz w:val="22"/>
              </w:rPr>
              <w:t>Reference</w:t>
            </w:r>
          </w:p>
        </w:tc>
      </w:tr>
    </w:tbl>
    <w:p>
      <w:r>
        <w:rPr>
          <w:rFonts w:ascii="Calibri" w:hAnsi="Calibri"/>
          <w:b/>
          <w:color w:val="525866"/>
          <w:sz w:val="22"/>
        </w:rPr>
        <w:t xml:space="preserve">Pattern: </w:t>
      </w:r>
      <w:r>
        <w:rPr>
          <w:rFonts w:ascii="Calibri" w:hAnsi="Calibri"/>
          <w:color w:val="525866"/>
          <w:sz w:val="22"/>
        </w:rPr>
        <w:t>CNP has missed consensus EPS in 5 of the last 7 reported quarters, with Q2 historically the weakest seasonal period. The Q2 2025 miss of -14.2% is the most notable comp; the street has since tightened estimates.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non-GAAP EPS guidance of $1.89–$1.91 is unchanged since the Q4 2025 earnings call; the only post-Q1 development was the </w:t>
      </w:r>
      <w:r>
        <w:rPr>
          <w:rFonts w:ascii="Calibri" w:hAnsi="Calibri"/>
          <w:b/>
          <w:color w:val="525866"/>
          <w:sz w:val="22"/>
        </w:rPr>
        <w:t>establishment of a new $1 billion ATM equity program on May 15, 2026</w:t>
      </w:r>
      <w:r>
        <w:rPr>
          <w:rFonts w:ascii="Calibri" w:hAnsi="Calibri"/>
          <w:color w:val="525866"/>
          <w:sz w:val="22"/>
        </w:rPr>
        <w:t>, which replaced the prior program and signals management is actively managing its financing toolkit heading into the back half of the year.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Non-GAAP EPS</w:t>
            </w:r>
          </w:p>
        </w:tc>
        <w:tc>
          <w:tcPr>
            <w:tcW w:type="dxa" w:w="1728"/>
          </w:tcPr>
          <w:p>
            <w:r>
              <w:rPr>
                <w:rFonts w:ascii="Calibri" w:hAnsi="Calibri"/>
                <w:sz w:val="22"/>
              </w:rPr>
              <w:t>$1.89–$1.91; target at or above midpoint ($1.90)</w:t>
            </w:r>
          </w:p>
        </w:tc>
        <w:tc>
          <w:tcPr>
            <w:tcW w:type="dxa" w:w="1728"/>
          </w:tcPr>
          <w:p>
            <w:r>
              <w:rPr>
                <w:rFonts w:ascii="Calibri" w:hAnsi="Calibri"/>
                <w:sz w:val="22"/>
              </w:rPr>
              <w:t>—</w:t>
            </w:r>
          </w:p>
        </w:tc>
        <w:tc>
          <w:tcPr>
            <w:tcW w:type="dxa" w:w="1728"/>
          </w:tcPr>
          <w:p>
            <w:r>
              <w:rPr>
                <w:rFonts w:ascii="Calibri" w:hAnsi="Calibri"/>
                <w:sz w:val="22"/>
              </w:rPr>
              <w:t>$1.913</w:t>
            </w:r>
          </w:p>
        </w:tc>
        <w:tc>
          <w:tcPr>
            <w:tcW w:type="dxa" w:w="1728"/>
          </w:tcPr>
          <w:p>
            <w:r>
              <w:rPr>
                <w:rFonts w:ascii="Calibri" w:hAnsi="Calibri"/>
                <w:sz w:val="22"/>
              </w:rPr>
              <w:t>Unchanged; consensus sits just above the top of the guidance range, implying the street expects a slight beat</w:t>
            </w:r>
          </w:p>
        </w:tc>
      </w:tr>
      <w:tr>
        <w:tc>
          <w:tcPr>
            <w:tcW w:type="dxa" w:w="1728"/>
          </w:tcPr>
          <w:p>
            <w:r>
              <w:rPr>
                <w:rFonts w:ascii="Calibri" w:hAnsi="Calibri"/>
                <w:sz w:val="22"/>
              </w:rPr>
              <w:t>FY 2026 Capital Additions</w:t>
            </w:r>
          </w:p>
        </w:tc>
        <w:tc>
          <w:tcPr>
            <w:tcW w:type="dxa" w:w="1728"/>
          </w:tcPr>
          <w:p>
            <w:r>
              <w:rPr>
                <w:rFonts w:ascii="Calibri" w:hAnsi="Calibri"/>
                <w:sz w:val="22"/>
              </w:rPr>
              <w:t>$6.8B target; $1.2B deployed in Q1 2026</w:t>
            </w:r>
          </w:p>
        </w:tc>
        <w:tc>
          <w:tcPr>
            <w:tcW w:type="dxa" w:w="1728"/>
          </w:tcPr>
          <w:p>
            <w:r>
              <w:rPr>
                <w:rFonts w:ascii="Calibri" w:hAnsi="Calibri"/>
                <w:sz w:val="22"/>
              </w:rPr>
              <w:t>—</w:t>
            </w:r>
          </w:p>
        </w:tc>
        <w:tc>
          <w:tcPr>
            <w:tcW w:type="dxa" w:w="1728"/>
          </w:tcPr>
          <w:p>
            <w:r>
              <w:rPr>
                <w:rFonts w:ascii="Calibri" w:hAnsi="Calibri"/>
                <w:sz w:val="22"/>
              </w:rPr>
              <w:t>$6.699B</w:t>
            </w:r>
          </w:p>
        </w:tc>
        <w:tc>
          <w:tcPr>
            <w:tcW w:type="dxa" w:w="1728"/>
          </w:tcPr>
          <w:p>
            <w:r>
              <w:rPr>
                <w:rFonts w:ascii="Calibri" w:hAnsi="Calibri"/>
                <w:sz w:val="22"/>
              </w:rPr>
              <w:t>Unchanged; consensus in line with guidance; larger projects expected to ramp in H2</w:t>
            </w:r>
          </w:p>
        </w:tc>
      </w:tr>
      <w:tr>
        <w:tc>
          <w:tcPr>
            <w:tcW w:type="dxa" w:w="1728"/>
          </w:tcPr>
          <w:p>
            <w:r>
              <w:rPr>
                <w:rFonts w:ascii="Calibri" w:hAnsi="Calibri"/>
                <w:sz w:val="22"/>
              </w:rPr>
              <w:t>Houston Electric Firmly Committed Load</w:t>
            </w:r>
          </w:p>
        </w:tc>
        <w:tc>
          <w:tcPr>
            <w:tcW w:type="dxa" w:w="1728"/>
          </w:tcPr>
          <w:p>
            <w:r>
              <w:rPr>
                <w:rFonts w:ascii="Calibri" w:hAnsi="Calibri"/>
                <w:sz w:val="22"/>
              </w:rPr>
              <w:t>12.2 GW (up from 7.5 GW at Q4 2025); 8 GW energized by end of 2028</w:t>
            </w:r>
          </w:p>
        </w:tc>
        <w:tc>
          <w:tcPr>
            <w:tcW w:type="dxa" w:w="1728"/>
          </w:tcPr>
          <w:p>
            <w:r>
              <w:rPr>
                <w:rFonts w:ascii="Calibri" w:hAnsi="Calibri"/>
                <w:sz w:val="22"/>
              </w:rPr>
              <w:t>—</w:t>
            </w:r>
          </w:p>
        </w:tc>
        <w:tc>
          <w:tcPr>
            <w:tcW w:type="dxa" w:w="1728"/>
          </w:tcPr>
          <w:p>
            <w:r>
              <w:rPr>
                <w:rFonts w:ascii="Calibri" w:hAnsi="Calibri"/>
                <w:sz w:val="22"/>
              </w:rPr>
              <w:t>N/A — not a consensus KPI</w:t>
            </w:r>
          </w:p>
        </w:tc>
        <w:tc>
          <w:tcPr>
            <w:tcW w:type="dxa" w:w="1728"/>
          </w:tcPr>
          <w:p>
            <w:r>
              <w:rPr>
                <w:rFonts w:ascii="Calibri" w:hAnsi="Calibri"/>
                <w:sz w:val="22"/>
              </w:rPr>
              <w:t>Watch for further increase at Q2 print; remaining 9 GW submitted to ERCOT post-Q1</w:t>
            </w:r>
          </w:p>
        </w:tc>
      </w:tr>
      <w:tr>
        <w:tc>
          <w:tcPr>
            <w:tcW w:type="dxa" w:w="1728"/>
          </w:tcPr>
          <w:p>
            <w:r>
              <w:rPr>
                <w:rFonts w:ascii="Calibri" w:hAnsi="Calibri"/>
                <w:sz w:val="22"/>
              </w:rPr>
              <w:t>FFO / Total Debt</w:t>
            </w:r>
          </w:p>
        </w:tc>
        <w:tc>
          <w:tcPr>
            <w:tcW w:type="dxa" w:w="1728"/>
          </w:tcPr>
          <w:p>
            <w:r>
              <w:rPr>
                <w:rFonts w:ascii="Calibri" w:hAnsi="Calibri"/>
                <w:sz w:val="22"/>
              </w:rPr>
              <w:t>Target high end of cushion by YE 2026; Q1 at 12.5% (Moody’s methodology)</w:t>
            </w:r>
          </w:p>
        </w:tc>
        <w:tc>
          <w:tcPr>
            <w:tcW w:type="dxa" w:w="1728"/>
          </w:tcPr>
          <w:p>
            <w:r>
              <w:rPr>
                <w:rFonts w:ascii="Calibri" w:hAnsi="Calibri"/>
                <w:sz w:val="22"/>
              </w:rPr>
              <w:t>—</w:t>
            </w:r>
          </w:p>
        </w:tc>
        <w:tc>
          <w:tcPr>
            <w:tcW w:type="dxa" w:w="1728"/>
          </w:tcPr>
          <w:p>
            <w:r>
              <w:rPr>
                <w:rFonts w:ascii="Calibri" w:hAnsi="Calibri"/>
                <w:sz w:val="22"/>
              </w:rPr>
              <w:t>11.65% (Q2 consensus)</w:t>
            </w:r>
          </w:p>
        </w:tc>
        <w:tc>
          <w:tcPr>
            <w:tcW w:type="dxa" w:w="1728"/>
          </w:tcPr>
          <w:p>
            <w:r>
              <w:rPr>
                <w:rFonts w:ascii="Calibri" w:hAnsi="Calibri"/>
                <w:sz w:val="22"/>
              </w:rPr>
              <w:t>Temporary pressure from debt pull-forward; recovery expected as capital deployed and AMT refund received in H2</w:t>
            </w:r>
          </w:p>
        </w:tc>
      </w:tr>
      <w:tr>
        <w:tc>
          <w:tcPr>
            <w:tcW w:type="dxa" w:w="1728"/>
          </w:tcPr>
          <w:p>
            <w:r>
              <w:rPr>
                <w:rFonts w:ascii="Calibri" w:hAnsi="Calibri"/>
                <w:sz w:val="22"/>
              </w:rPr>
              <w:t>ATM Equity Program</w:t>
            </w:r>
          </w:p>
        </w:tc>
        <w:tc>
          <w:tcPr>
            <w:tcW w:type="dxa" w:w="1728"/>
          </w:tcPr>
          <w:p>
            <w:r>
              <w:rPr>
                <w:rFonts w:ascii="Calibri" w:hAnsi="Calibri"/>
                <w:sz w:val="22"/>
              </w:rPr>
              <w:t>Prior program: ~$84.9M remaining</w:t>
            </w:r>
          </w:p>
        </w:tc>
        <w:tc>
          <w:tcPr>
            <w:tcW w:type="dxa" w:w="1728"/>
          </w:tcPr>
          <w:p>
            <w:r>
              <w:rPr>
                <w:rFonts w:ascii="Calibri" w:hAnsi="Calibri"/>
                <w:sz w:val="22"/>
              </w:rPr>
              <w:t>↑ New $1B ATM established May 15, 2026 (8-K filed)</w:t>
            </w:r>
          </w:p>
        </w:tc>
        <w:tc>
          <w:tcPr>
            <w:tcW w:type="dxa" w:w="1728"/>
          </w:tcPr>
          <w:p>
            <w:r>
              <w:rPr>
                <w:rFonts w:ascii="Calibri" w:hAnsi="Calibri"/>
                <w:sz w:val="22"/>
              </w:rPr>
              <w:t>N/A</w:t>
            </w:r>
          </w:p>
        </w:tc>
        <w:tc>
          <w:tcPr>
            <w:tcW w:type="dxa" w:w="1728"/>
          </w:tcPr>
          <w:p>
            <w:r>
              <w:rPr>
                <w:rFonts w:ascii="Calibri" w:hAnsi="Calibri"/>
                <w:sz w:val="22"/>
              </w:rPr>
              <w:t>Raised at 8-K May 15, 2026; replaces prior ATM; proceeds for CapEx and CP repayment; no obligation to sell</w:t>
            </w:r>
          </w:p>
        </w:tc>
      </w:tr>
      <w:tr>
        <w:tc>
          <w:tcPr>
            <w:tcW w:type="dxa" w:w="1728"/>
          </w:tcPr>
          <w:p>
            <w:r>
              <w:rPr>
                <w:rFonts w:ascii="Calibri" w:hAnsi="Calibri"/>
                <w:sz w:val="22"/>
              </w:rPr>
              <w:t>Long-Term EPS Growth</w:t>
            </w:r>
          </w:p>
        </w:tc>
        <w:tc>
          <w:tcPr>
            <w:tcW w:type="dxa" w:w="1728"/>
          </w:tcPr>
          <w:p>
            <w:r>
              <w:rPr>
                <w:rFonts w:ascii="Calibri" w:hAnsi="Calibri"/>
                <w:sz w:val="22"/>
              </w:rPr>
              <w:t>Mid-to-high end of 7–9% CAGR through 2028; 7–9% through 2035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transmission study update in H2 2026 could unlock incremental CapEx and upside to growth rate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for both Q2 2026 and FY 2026 have been remarkably stable since the Q1 print — the Q2 EPS estimate has drifted only slightly lower (from $0.388 to $0.378), while the FY 2026 estimate is essentially flat — suggesting </w:t>
      </w:r>
      <w:r>
        <w:rPr>
          <w:rFonts w:ascii="Calibri" w:hAnsi="Calibri"/>
          <w:b/>
          <w:color w:val="525866"/>
          <w:sz w:val="22"/>
        </w:rPr>
        <w:t>no meaningful revision risk or cushion</w:t>
      </w:r>
      <w:r>
        <w:rPr>
          <w:rFonts w:ascii="Calibri" w:hAnsi="Calibri"/>
          <w:color w:val="525866"/>
          <w:sz w:val="22"/>
        </w:rPr>
        <w:t xml:space="preserve"> heading into the print; the bar is set and the market is waiting for the load growth update.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30,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Non-GAAP EPS — Diluted Operating (Q2 2026)</w:t>
            </w:r>
          </w:p>
        </w:tc>
        <w:tc>
          <w:tcPr>
            <w:tcW w:type="dxa" w:w="1080"/>
          </w:tcPr>
          <w:p>
            <w:r>
              <w:rPr>
                <w:rFonts w:ascii="Calibri" w:hAnsi="Calibri"/>
                <w:sz w:val="22"/>
              </w:rPr>
              <w:t>$0.388</w:t>
            </w:r>
          </w:p>
        </w:tc>
        <w:tc>
          <w:tcPr>
            <w:tcW w:type="dxa" w:w="1080"/>
          </w:tcPr>
          <w:p>
            <w:r>
              <w:rPr>
                <w:rFonts w:ascii="Calibri" w:hAnsi="Calibri"/>
                <w:sz w:val="22"/>
              </w:rPr>
              <w:t>$0.378</w:t>
            </w:r>
          </w:p>
        </w:tc>
        <w:tc>
          <w:tcPr>
            <w:tcW w:type="dxa" w:w="1080"/>
          </w:tcPr>
          <w:p>
            <w:r>
              <w:rPr>
                <w:rFonts w:ascii="Calibri" w:hAnsi="Calibri"/>
                <w:b/>
                <w:color w:val="E5484D"/>
                <w:sz w:val="22"/>
              </w:rPr>
              <w:t>-2.6%</w:t>
            </w:r>
          </w:p>
        </w:tc>
        <w:tc>
          <w:tcPr>
            <w:tcW w:type="dxa" w:w="1080"/>
          </w:tcPr>
          <w:p>
            <w:r>
              <w:rPr>
                <w:rFonts w:ascii="Calibri" w:hAnsi="Calibri"/>
                <w:sz w:val="22"/>
              </w:rPr>
              <w:t>N/A — not guided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Non-GAAP EPS — Diluted Operating (FY 2026)</w:t>
            </w:r>
          </w:p>
        </w:tc>
        <w:tc>
          <w:tcPr>
            <w:tcW w:type="dxa" w:w="1080"/>
          </w:tcPr>
          <w:p>
            <w:r>
              <w:rPr>
                <w:rFonts w:ascii="Calibri" w:hAnsi="Calibri"/>
                <w:sz w:val="22"/>
              </w:rPr>
              <w:t>$1.912</w:t>
            </w:r>
          </w:p>
        </w:tc>
        <w:tc>
          <w:tcPr>
            <w:tcW w:type="dxa" w:w="1080"/>
          </w:tcPr>
          <w:p>
            <w:r>
              <w:rPr>
                <w:rFonts w:ascii="Calibri" w:hAnsi="Calibri"/>
                <w:sz w:val="22"/>
              </w:rPr>
              <w:t>$1.913</w:t>
            </w:r>
          </w:p>
        </w:tc>
        <w:tc>
          <w:tcPr>
            <w:tcW w:type="dxa" w:w="1080"/>
          </w:tcPr>
          <w:p>
            <w:r>
              <w:rPr>
                <w:rFonts w:ascii="Calibri" w:hAnsi="Calibri"/>
                <w:b/>
                <w:color w:val="30A46C"/>
                <w:sz w:val="22"/>
              </w:rPr>
              <w:t>+0.1%</w:t>
            </w:r>
          </w:p>
        </w:tc>
        <w:tc>
          <w:tcPr>
            <w:tcW w:type="dxa" w:w="1080"/>
          </w:tcPr>
          <w:p>
            <w:r>
              <w:rPr>
                <w:rFonts w:ascii="Calibri" w:hAnsi="Calibri"/>
                <w:sz w:val="22"/>
              </w:rPr>
              <w:t>$1.89–$1.91 (midpoint $1.90)</w:t>
            </w:r>
          </w:p>
        </w:tc>
        <w:tc>
          <w:tcPr>
            <w:tcW w:type="dxa" w:w="1080"/>
          </w:tcPr>
          <w:p>
            <w:r>
              <w:rPr>
                <w:rFonts w:ascii="Calibri" w:hAnsi="Calibri"/>
                <w:sz w:val="22"/>
              </w:rPr>
              <w:t>$1.89–$1.91 (unchanged)</w:t>
            </w:r>
          </w:p>
        </w:tc>
        <w:tc>
          <w:tcPr>
            <w:tcW w:type="dxa" w:w="1080"/>
          </w:tcPr>
          <w:p>
            <w:r>
              <w:rPr>
                <w:rFonts w:ascii="Calibri" w:hAnsi="Calibri"/>
                <w:sz w:val="22"/>
              </w:rPr>
              <w:t>No change</w:t>
            </w:r>
          </w:p>
        </w:tc>
        <w:tc>
          <w:tcPr>
            <w:tcW w:type="dxa" w:w="1080"/>
          </w:tcPr>
          <w:p>
            <w:r>
              <w:rPr>
                <w:rFonts w:ascii="Calibri" w:hAnsi="Calibri"/>
                <w:sz w:val="22"/>
              </w:rPr>
              <w:t>+0.2% above midpoint</w:t>
            </w:r>
          </w:p>
        </w:tc>
      </w:tr>
      <w:tr>
        <w:tc>
          <w:tcPr>
            <w:tcW w:type="dxa" w:w="1080"/>
          </w:tcPr>
          <w:p>
            <w:r>
              <w:rPr>
                <w:rFonts w:ascii="Calibri" w:hAnsi="Calibri"/>
                <w:sz w:val="22"/>
              </w:rPr>
              <w:t>Total Revenue (Q2 2026)</w:t>
            </w:r>
          </w:p>
        </w:tc>
        <w:tc>
          <w:tcPr>
            <w:tcW w:type="dxa" w:w="1080"/>
          </w:tcPr>
          <w:p>
            <w:r>
              <w:rPr>
                <w:rFonts w:ascii="Calibri" w:hAnsi="Calibri"/>
                <w:sz w:val="22"/>
              </w:rPr>
              <w:t>$2.419B</w:t>
            </w:r>
          </w:p>
        </w:tc>
        <w:tc>
          <w:tcPr>
            <w:tcW w:type="dxa" w:w="1080"/>
          </w:tcPr>
          <w:p>
            <w:r>
              <w:rPr>
                <w:rFonts w:ascii="Calibri" w:hAnsi="Calibri"/>
                <w:sz w:val="22"/>
              </w:rPr>
              <w:t>$2.249B</w:t>
            </w:r>
          </w:p>
        </w:tc>
        <w:tc>
          <w:tcPr>
            <w:tcW w:type="dxa" w:w="1080"/>
          </w:tcPr>
          <w:p>
            <w:r>
              <w:rPr>
                <w:rFonts w:ascii="Calibri" w:hAnsi="Calibri"/>
                <w:b/>
                <w:color w:val="E5484D"/>
                <w:sz w:val="22"/>
              </w:rPr>
              <w:t>-7.0%</w:t>
            </w:r>
          </w:p>
        </w:tc>
        <w:tc>
          <w:tcPr>
            <w:tcW w:type="dxa" w:w="1080"/>
          </w:tcPr>
          <w:p>
            <w:r>
              <w:rPr>
                <w:rFonts w:ascii="Calibri" w:hAnsi="Calibri"/>
                <w:sz w:val="22"/>
              </w:rPr>
              <w:t>N/A — not guided quarterly</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$9.874B</w:t>
            </w:r>
          </w:p>
        </w:tc>
        <w:tc>
          <w:tcPr>
            <w:tcW w:type="dxa" w:w="1080"/>
          </w:tcPr>
          <w:p>
            <w:r>
              <w:rPr>
                <w:rFonts w:ascii="Calibri" w:hAnsi="Calibri"/>
                <w:sz w:val="22"/>
              </w:rPr>
              <w:t>$9.911B</w:t>
            </w:r>
          </w:p>
        </w:tc>
        <w:tc>
          <w:tcPr>
            <w:tcW w:type="dxa" w:w="1080"/>
          </w:tcPr>
          <w:p>
            <w:r>
              <w:rPr>
                <w:rFonts w:ascii="Calibri" w:hAnsi="Calibri"/>
                <w:b/>
                <w:color w:val="30A46C"/>
                <w:sz w:val="22"/>
              </w:rPr>
              <w:t>+0.4%</w:t>
            </w:r>
          </w:p>
        </w:tc>
        <w:tc>
          <w:tcPr>
            <w:tcW w:type="dxa" w:w="1080"/>
          </w:tcPr>
          <w:p>
            <w:r>
              <w:rPr>
                <w:rFonts w:ascii="Calibri" w:hAnsi="Calibri"/>
                <w:sz w:val="22"/>
              </w:rPr>
              <w:t>N/A — not guided</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Capital Additions (Q2 2026)</w:t>
            </w:r>
          </w:p>
        </w:tc>
        <w:tc>
          <w:tcPr>
            <w:tcW w:type="dxa" w:w="1080"/>
          </w:tcPr>
          <w:p>
            <w:r>
              <w:rPr>
                <w:rFonts w:ascii="Calibri" w:hAnsi="Calibri"/>
                <w:sz w:val="22"/>
              </w:rPr>
              <w:t>$1.751B</w:t>
            </w:r>
          </w:p>
        </w:tc>
        <w:tc>
          <w:tcPr>
            <w:tcW w:type="dxa" w:w="1080"/>
          </w:tcPr>
          <w:p>
            <w:r>
              <w:rPr>
                <w:rFonts w:ascii="Calibri" w:hAnsi="Calibri"/>
                <w:sz w:val="22"/>
              </w:rPr>
              <w:t>$1.761B</w:t>
            </w:r>
          </w:p>
        </w:tc>
        <w:tc>
          <w:tcPr>
            <w:tcW w:type="dxa" w:w="1080"/>
          </w:tcPr>
          <w:p>
            <w:r>
              <w:rPr>
                <w:rFonts w:ascii="Calibri" w:hAnsi="Calibri"/>
                <w:b/>
                <w:color w:val="30A46C"/>
                <w:sz w:val="22"/>
              </w:rPr>
              <w:t>+0.6%</w:t>
            </w:r>
          </w:p>
        </w:tc>
        <w:tc>
          <w:tcPr>
            <w:tcW w:type="dxa" w:w="1080"/>
          </w:tcPr>
          <w:p>
            <w:r>
              <w:rPr>
                <w:rFonts w:ascii="Calibri" w:hAnsi="Calibri"/>
                <w:sz w:val="22"/>
              </w:rPr>
              <w:t>$6.8B (FY 2026)</w:t>
            </w:r>
          </w:p>
        </w:tc>
        <w:tc>
          <w:tcPr>
            <w:tcW w:type="dxa" w:w="1080"/>
          </w:tcPr>
          <w:p>
            <w:r>
              <w:rPr>
                <w:rFonts w:ascii="Calibri" w:hAnsi="Calibri"/>
                <w:sz w:val="22"/>
              </w:rPr>
              <w:t>$6.8B (unchanged)</w:t>
            </w:r>
          </w:p>
        </w:tc>
        <w:tc>
          <w:tcPr>
            <w:tcW w:type="dxa" w:w="1080"/>
          </w:tcPr>
          <w:p>
            <w:r>
              <w:rPr>
                <w:rFonts w:ascii="Calibri" w:hAnsi="Calibri"/>
                <w:sz w:val="22"/>
              </w:rPr>
              <w:t>No change</w:t>
            </w:r>
          </w:p>
        </w:tc>
        <w:tc>
          <w:tcPr>
            <w:tcW w:type="dxa" w:w="1080"/>
          </w:tcPr>
          <w:p>
            <w:r>
              <w:rPr>
                <w:rFonts w:ascii="Calibri" w:hAnsi="Calibri"/>
                <w:sz w:val="22"/>
              </w:rPr>
              <w:t>Q2 consensus implies ~26% of FY plan</w:t>
            </w:r>
          </w:p>
        </w:tc>
      </w:tr>
    </w:tbl>
    <w:p>
      <w:r>
        <w:rPr>
          <w:rFonts w:ascii="Calibri" w:hAnsi="Calibri"/>
          <w:color w:val="525866"/>
          <w:sz w:val="22"/>
        </w:rPr>
        <w:t>The Q2 EPS estimate has drifted modestly lower (-2.6%) since the Q1 print, while FY 2026 EPS is essentially flat (+0.1%), consistent with the revision momentum data showing estimates range-bound between $0.371 and $0.390 since October 2025. Revenue estimates for Q2 have been revised down more meaningfully (-7.0%), likely reflecting the seasonal mix shift and the Ohio LDC divestiture impact, but this does not affect the EPS trajectory.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CNP has delivered roughly flat absolute performance since the Q1 2026 earnings date (+1.9%), broadly in line with XLU (+1.3%) but </w:t>
      </w:r>
      <w:r>
        <w:rPr>
          <w:rFonts w:ascii="Calibri" w:hAnsi="Calibri"/>
          <w:b/>
          <w:color w:val="525866"/>
          <w:sz w:val="22"/>
        </w:rPr>
        <w:t>significantly underperforming the S&amp;P 500 (+4.3%)</w:t>
      </w:r>
      <w:r>
        <w:rPr>
          <w:rFonts w:ascii="Calibri" w:hAnsi="Calibri"/>
          <w:color w:val="525866"/>
          <w:sz w:val="22"/>
        </w:rPr>
        <w:t>; the stock is not pricing in a beat, and the multiple has compressed modestly relative to the market, suggesting the next catalyst is the load growth update rather than EPS.</w:t>
      </w:r>
    </w:p>
    <w:p>
      <w:r>
        <w:rPr>
          <w:rFonts w:ascii="Calibri" w:hAnsi="Calibri"/>
          <w:b/>
          <w:color w:val="525866"/>
          <w:sz w:val="22"/>
        </w:rPr>
        <w:t>Indexed Performance Since Q1 2026 Earnings (April 23,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CNP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S&amp;P 500 (Indexed)</w:t>
            </w:r>
          </w:p>
        </w:tc>
      </w:tr>
      <w:tr>
        <w:tc>
          <w:tcPr>
            <w:tcW w:type="dxa" w:w="2160"/>
          </w:tcPr>
          <w:p>
            <w:r>
              <w:rPr>
                <w:rFonts w:ascii="Calibri" w:hAnsi="Calibri"/>
                <w:sz w:val="22"/>
              </w:rPr>
              <w:t>Apr 23, 2026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Apr 30, 2026</w:t>
            </w:r>
          </w:p>
        </w:tc>
        <w:tc>
          <w:tcPr>
            <w:tcW w:type="dxa" w:w="2160"/>
          </w:tcPr>
          <w:p>
            <w:r>
              <w:rPr>
                <w:rFonts w:ascii="Calibri" w:hAnsi="Calibri"/>
                <w:sz w:val="22"/>
              </w:rPr>
              <w:t>101.1</w:t>
            </w:r>
          </w:p>
        </w:tc>
        <w:tc>
          <w:tcPr>
            <w:tcW w:type="dxa" w:w="2160"/>
          </w:tcPr>
          <w:p>
            <w:r>
              <w:rPr>
                <w:rFonts w:ascii="Calibri" w:hAnsi="Calibri"/>
                <w:sz w:val="22"/>
              </w:rPr>
              <w:t>101.6</w:t>
            </w:r>
          </w:p>
        </w:tc>
        <w:tc>
          <w:tcPr>
            <w:tcW w:type="dxa" w:w="2160"/>
          </w:tcPr>
          <w:p>
            <w:r>
              <w:rPr>
                <w:rFonts w:ascii="Calibri" w:hAnsi="Calibri"/>
                <w:sz w:val="22"/>
              </w:rPr>
              <w:t>101.4</w:t>
            </w:r>
          </w:p>
        </w:tc>
      </w:tr>
      <w:tr>
        <w:tc>
          <w:tcPr>
            <w:tcW w:type="dxa" w:w="2160"/>
          </w:tcPr>
          <w:p>
            <w:r>
              <w:rPr>
                <w:rFonts w:ascii="Calibri" w:hAnsi="Calibri"/>
                <w:sz w:val="22"/>
              </w:rPr>
              <w:t>May 15, 2026 (ATM Program)</w:t>
            </w:r>
          </w:p>
        </w:tc>
        <w:tc>
          <w:tcPr>
            <w:tcW w:type="dxa" w:w="2160"/>
          </w:tcPr>
          <w:p>
            <w:r>
              <w:rPr>
                <w:rFonts w:ascii="Calibri" w:hAnsi="Calibri"/>
                <w:sz w:val="22"/>
              </w:rPr>
              <w:t>96.2</w:t>
            </w:r>
          </w:p>
        </w:tc>
        <w:tc>
          <w:tcPr>
            <w:tcW w:type="dxa" w:w="2160"/>
          </w:tcPr>
          <w:p>
            <w:r>
              <w:rPr>
                <w:rFonts w:ascii="Calibri" w:hAnsi="Calibri"/>
                <w:sz w:val="22"/>
              </w:rPr>
              <w:t>95.2</w:t>
            </w:r>
          </w:p>
        </w:tc>
        <w:tc>
          <w:tcPr>
            <w:tcW w:type="dxa" w:w="2160"/>
          </w:tcPr>
          <w:p>
            <w:r>
              <w:rPr>
                <w:rFonts w:ascii="Calibri" w:hAnsi="Calibri"/>
                <w:sz w:val="22"/>
              </w:rPr>
              <w:t>104.3</w:t>
            </w:r>
          </w:p>
        </w:tc>
      </w:tr>
      <w:tr>
        <w:tc>
          <w:tcPr>
            <w:tcW w:type="dxa" w:w="2160"/>
          </w:tcPr>
          <w:p>
            <w:r>
              <w:rPr>
                <w:rFonts w:ascii="Calibri" w:hAnsi="Calibri"/>
                <w:sz w:val="22"/>
              </w:rPr>
              <w:t>May 29, 2026</w:t>
            </w:r>
          </w:p>
        </w:tc>
        <w:tc>
          <w:tcPr>
            <w:tcW w:type="dxa" w:w="2160"/>
          </w:tcPr>
          <w:p>
            <w:r>
              <w:rPr>
                <w:rFonts w:ascii="Calibri" w:hAnsi="Calibri"/>
                <w:sz w:val="22"/>
              </w:rPr>
              <w:t>97.9</w:t>
            </w:r>
          </w:p>
        </w:tc>
        <w:tc>
          <w:tcPr>
            <w:tcW w:type="dxa" w:w="2160"/>
          </w:tcPr>
          <w:p>
            <w:r>
              <w:rPr>
                <w:rFonts w:ascii="Calibri" w:hAnsi="Calibri"/>
                <w:sz w:val="22"/>
              </w:rPr>
              <w:t>96.4</w:t>
            </w:r>
          </w:p>
        </w:tc>
        <w:tc>
          <w:tcPr>
            <w:tcW w:type="dxa" w:w="2160"/>
          </w:tcPr>
          <w:p>
            <w:r>
              <w:rPr>
                <w:rFonts w:ascii="Calibri" w:hAnsi="Calibri"/>
                <w:sz w:val="22"/>
              </w:rPr>
              <w:t>106.8</w:t>
            </w:r>
          </w:p>
        </w:tc>
      </w:tr>
      <w:tr>
        <w:tc>
          <w:tcPr>
            <w:tcW w:type="dxa" w:w="2160"/>
          </w:tcPr>
          <w:p>
            <w:r>
              <w:rPr>
                <w:rFonts w:ascii="Calibri" w:hAnsi="Calibri"/>
                <w:sz w:val="22"/>
              </w:rPr>
              <w:t>Jun 26, 2026</w:t>
            </w:r>
          </w:p>
        </w:tc>
        <w:tc>
          <w:tcPr>
            <w:tcW w:type="dxa" w:w="2160"/>
          </w:tcPr>
          <w:p>
            <w:r>
              <w:rPr>
                <w:rFonts w:ascii="Calibri" w:hAnsi="Calibri"/>
                <w:sz w:val="22"/>
              </w:rPr>
              <w:t>104.3</w:t>
            </w:r>
          </w:p>
        </w:tc>
        <w:tc>
          <w:tcPr>
            <w:tcW w:type="dxa" w:w="2160"/>
          </w:tcPr>
          <w:p>
            <w:r>
              <w:rPr>
                <w:rFonts w:ascii="Calibri" w:hAnsi="Calibri"/>
                <w:sz w:val="22"/>
              </w:rPr>
              <w:t>100.2</w:t>
            </w:r>
          </w:p>
        </w:tc>
        <w:tc>
          <w:tcPr>
            <w:tcW w:type="dxa" w:w="2160"/>
          </w:tcPr>
          <w:p>
            <w:r>
              <w:rPr>
                <w:rFonts w:ascii="Calibri" w:hAnsi="Calibri"/>
                <w:sz w:val="22"/>
              </w:rPr>
              <w:t>102.9</w:t>
            </w:r>
          </w:p>
        </w:tc>
      </w:tr>
      <w:tr>
        <w:tc>
          <w:tcPr>
            <w:tcW w:type="dxa" w:w="2160"/>
          </w:tcPr>
          <w:p>
            <w:r>
              <w:rPr>
                <w:rFonts w:ascii="Calibri" w:hAnsi="Calibri"/>
                <w:sz w:val="22"/>
              </w:rPr>
              <w:t>Jul 24, 2026</w:t>
            </w:r>
          </w:p>
        </w:tc>
        <w:tc>
          <w:tcPr>
            <w:tcW w:type="dxa" w:w="2160"/>
          </w:tcPr>
          <w:p>
            <w:r>
              <w:rPr>
                <w:rFonts w:ascii="Calibri" w:hAnsi="Calibri"/>
                <w:sz w:val="22"/>
              </w:rPr>
              <w:t>103.2</w:t>
            </w:r>
          </w:p>
        </w:tc>
        <w:tc>
          <w:tcPr>
            <w:tcW w:type="dxa" w:w="2160"/>
          </w:tcPr>
          <w:p>
            <w:r>
              <w:rPr>
                <w:rFonts w:ascii="Calibri" w:hAnsi="Calibri"/>
                <w:sz w:val="22"/>
              </w:rPr>
              <w:t>100.4</w:t>
            </w:r>
          </w:p>
        </w:tc>
        <w:tc>
          <w:tcPr>
            <w:tcW w:type="dxa" w:w="2160"/>
          </w:tcPr>
          <w:p>
            <w:r>
              <w:rPr>
                <w:rFonts w:ascii="Calibri" w:hAnsi="Calibri"/>
                <w:sz w:val="22"/>
              </w:rPr>
              <w:t>104.3</w:t>
            </w:r>
          </w:p>
        </w:tc>
      </w:tr>
      <w:tr>
        <w:tc>
          <w:tcPr>
            <w:tcW w:type="dxa" w:w="2160"/>
          </w:tcPr>
          <w:p>
            <w:r>
              <w:rPr>
                <w:rFonts w:ascii="Calibri" w:hAnsi="Calibri"/>
                <w:sz w:val="22"/>
              </w:rPr>
              <w:t>Jul 28, 2026 (Today)</w:t>
            </w:r>
          </w:p>
        </w:tc>
        <w:tc>
          <w:tcPr>
            <w:tcW w:type="dxa" w:w="2160"/>
          </w:tcPr>
          <w:p>
            <w:r>
              <w:rPr>
                <w:rFonts w:ascii="Calibri" w:hAnsi="Calibri"/>
                <w:sz w:val="22"/>
              </w:rPr>
              <w:t>101.9</w:t>
            </w:r>
          </w:p>
        </w:tc>
        <w:tc>
          <w:tcPr>
            <w:tcW w:type="dxa" w:w="2160"/>
          </w:tcPr>
          <w:p>
            <w:r>
              <w:rPr>
                <w:rFonts w:ascii="Calibri" w:hAnsi="Calibri"/>
                <w:sz w:val="22"/>
              </w:rPr>
              <w:t>101.3</w:t>
            </w:r>
          </w:p>
        </w:tc>
        <w:tc>
          <w:tcPr>
            <w:tcW w:type="dxa" w:w="2160"/>
          </w:tcPr>
          <w:p>
            <w:r>
              <w:rPr>
                <w:rFonts w:ascii="Calibri" w:hAnsi="Calibri"/>
                <w:sz w:val="22"/>
              </w:rPr>
              <w:t>104.3</w:t>
            </w:r>
          </w:p>
        </w:tc>
      </w:tr>
    </w:tbl>
    <w:p>
      <w:r>
        <w:rPr>
          <w:rFonts w:ascii="Calibri" w:hAnsi="Calibri"/>
          <w:b/>
          <w:color w:val="525866"/>
          <w:sz w:val="22"/>
        </w:rPr>
        <w:t xml:space="preserve">Note: </w:t>
      </w:r>
      <w:r>
        <w:rPr>
          <w:rFonts w:ascii="Calibri" w:hAnsi="Calibri"/>
          <w:color w:val="525866"/>
          <w:sz w:val="22"/>
        </w:rPr>
        <w:t>Indexed to 100 at April 23, 2026 close. CNP: $43.18 base; XLU: $46.09 base; SPY: $708.45 base. Jul 28, 2026 prices: CNP $44.01, XLU $45.68, SPY $739.09. Key event: May 15, 2026 — New $1B ATM equity program established (8-K). Source: Stock Price Data (Yahoo Finance).</w:t>
      </w:r>
    </w:p>
    <w:p>
      <w:r>
        <w:rPr>
          <w:rFonts w:ascii="Calibri" w:hAnsi="Calibri"/>
          <w:color w:val="525866"/>
          <w:sz w:val="22"/>
        </w:rPr>
        <w:t>CNP has broadly tracked XLU since the Q1 print, with both lagging the S&amp;P 500 by approximately 240 basis points. The stock briefly dipped below the Q1 close in mid-May (coinciding with the ATM announcement and sector rotation into growth) before recovering in late June. The late-June rally to ~$45 appears to have been driven by sector rotation into utilities and positive read-through from NEE and PCG Q2 results, but CNP has since given back some of those gains heading into its own print. The stock is not pricing in a beat.</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establishment of a new $1 billion ATM equity program on May 15, 2026</w:t>
      </w:r>
      <w:r>
        <w:rPr>
          <w:rFonts w:ascii="Calibri" w:hAnsi="Calibri"/>
          <w:color w:val="525866"/>
          <w:sz w:val="22"/>
        </w:rPr>
        <w:t>, which expands CNP’s financing flexibility heading into a period of accelerating CapEx; the broader utility sector read-through from NEE and PCG Q2 results is also constructive for CNP’s load growth narrative.</w:t>
      </w:r>
    </w:p>
    <w:p>
      <w:pPr>
        <w:pStyle w:val="ListBullet"/>
        <w:ind w:left="360" w:hanging="360"/>
      </w:pPr>
      <w:r>
        <w:rPr>
          <w:rFonts w:ascii="Calibri" w:hAnsi="Calibri"/>
          <w:b/>
          <w:color w:val="525866"/>
          <w:sz w:val="22"/>
        </w:rPr>
        <w:t xml:space="preserve">May 15, 2026 — CNP establishes new $1 billion ATM equity program (8-K). </w:t>
      </w:r>
      <w:r>
        <w:rPr>
          <w:rFonts w:ascii="Calibri" w:hAnsi="Calibri"/>
          <w:color w:val="525866"/>
          <w:sz w:val="22"/>
        </w:rPr>
        <w:t xml:space="preserve">CenterPoint terminated its prior ATM program (with ~$84.9M remaining) and established a new $1B at-the-market equity distribution agreement with 16 banks. Proceeds designated for CapEx programs and commercial paper repayment. The program includes forward sale provisions, giving management flexibility on timing. </w:t>
      </w:r>
      <w:r>
        <w:rPr>
          <w:rFonts w:ascii="Calibri" w:hAnsi="Calibri"/>
          <w:b/>
          <w:color w:val="525866"/>
          <w:sz w:val="22"/>
        </w:rPr>
        <w:t xml:space="preserve">Implication: </w:t>
      </w:r>
      <w:r>
        <w:rPr>
          <w:rFonts w:ascii="Calibri" w:hAnsi="Calibri"/>
          <w:color w:val="525866"/>
          <w:sz w:val="22"/>
        </w:rPr>
        <w:t>Signals management is proactively building financing capacity ahead of the H2 2026 CapEx ramp and potential incremental capital announcements from the transmission study. No obligation to sell; dilution risk is modest but real.</w:t>
      </w:r>
    </w:p>
    <w:p>
      <w:pPr>
        <w:pStyle w:val="ListBullet"/>
        <w:ind w:left="360" w:hanging="360"/>
      </w:pPr>
      <w:r>
        <w:rPr>
          <w:rFonts w:ascii="Calibri" w:hAnsi="Calibri"/>
          <w:b/>
          <w:color w:val="525866"/>
          <w:sz w:val="22"/>
        </w:rPr>
        <w:t xml:space="preserve">July 24, 2026 — NEE reports Q2 2026 beat; raises data center load forecast to 8 GW by 2032 (FPL). </w:t>
      </w:r>
      <w:r>
        <w:rPr>
          <w:rFonts w:ascii="Calibri" w:hAnsi="Calibri"/>
          <w:color w:val="525866"/>
          <w:sz w:val="22"/>
        </w:rPr>
        <w:t xml:space="preserve">NextEra Energy reported Q2 adjusted EPS of $1.15 vs. $1.11 consensus, with FPL adding 90,000+ customers and Energy Resources adding 3.6 GW to its backlog. NEE raised its large load forecast for FPL from 6 GW to 8 GW by 2032 and now has 21 GW of large load interest with 12 GW in advanced discussions. </w:t>
      </w:r>
      <w:r>
        <w:rPr>
          <w:rFonts w:ascii="Calibri" w:hAnsi="Calibri"/>
          <w:b/>
          <w:color w:val="525866"/>
          <w:sz w:val="22"/>
        </w:rPr>
        <w:t xml:space="preserve">Implication: </w:t>
      </w:r>
      <w:r>
        <w:rPr>
          <w:rFonts w:ascii="Calibri" w:hAnsi="Calibri"/>
          <w:color w:val="525866"/>
          <w:sz w:val="22"/>
        </w:rPr>
        <w:t>Positive read-through for CNP’s Houston Electric load growth narrative; confirms that utility-scale data center demand is accelerating nationally, not just in Texas.</w:t>
      </w:r>
    </w:p>
    <w:p>
      <w:pPr>
        <w:pStyle w:val="ListBullet"/>
        <w:ind w:left="360" w:hanging="360"/>
      </w:pPr>
      <w:r>
        <w:rPr>
          <w:rFonts w:ascii="Calibri" w:hAnsi="Calibri"/>
          <w:b/>
          <w:color w:val="525866"/>
          <w:sz w:val="22"/>
        </w:rPr>
        <w:t xml:space="preserve">July 22–23, 2026 — PCG reports Q2 2026 beat; data center pipeline grows to 12+ GW. </w:t>
      </w:r>
      <w:r>
        <w:rPr>
          <w:rFonts w:ascii="Calibri" w:hAnsi="Calibri"/>
          <w:color w:val="525866"/>
          <w:sz w:val="22"/>
        </w:rPr>
        <w:t xml:space="preserve">PG&amp;E reported Q2 core EPS of $0.40 vs. $0.36 consensus (+11% beat), driven by higher rates and AI data center demand. PCG’s large load pipeline grew to over 12 GW (from 10+ GW last quarter), with 1.8 GW expected online by 2030. </w:t>
      </w:r>
      <w:r>
        <w:rPr>
          <w:rFonts w:ascii="Calibri" w:hAnsi="Calibri"/>
          <w:b/>
          <w:color w:val="525866"/>
          <w:sz w:val="22"/>
        </w:rPr>
        <w:t xml:space="preserve">Implication: </w:t>
      </w:r>
      <w:r>
        <w:rPr>
          <w:rFonts w:ascii="Calibri" w:hAnsi="Calibri"/>
          <w:color w:val="525866"/>
          <w:sz w:val="22"/>
        </w:rPr>
        <w:t>Confirms the 12+ GW pipeline threshold as a credible benchmark; CNP’s own 12.2 GW of firmly committed load is now validated by a peer at a similar scale.</w:t>
      </w:r>
    </w:p>
    <w:p>
      <w:pPr>
        <w:pStyle w:val="ListBullet"/>
        <w:ind w:left="360" w:hanging="360"/>
      </w:pPr>
      <w:r>
        <w:rPr>
          <w:rFonts w:ascii="Calibri" w:hAnsi="Calibri"/>
          <w:b/>
          <w:color w:val="525866"/>
          <w:sz w:val="22"/>
        </w:rPr>
        <w:t xml:space="preserve">July 22, 2026 — GE Vernova (GEV) Q2 results: orders surge 88% organically to $24.2B; raises revenue guidance. </w:t>
      </w:r>
      <w:r>
        <w:rPr>
          <w:rFonts w:ascii="Calibri" w:hAnsi="Calibri"/>
          <w:color w:val="525866"/>
          <w:sz w:val="22"/>
        </w:rPr>
        <w:t xml:space="preserve">GEV reported Q2 EBITDA of $1.25B (slight miss vs. $1.29B consensus) but revenue of $11.1B beat ($10.8B expected). Orders surged 88% organically to $24.2B, with backlog spiking. Full-year revenue guidance raised to $45.5–46.5B. </w:t>
      </w:r>
      <w:r>
        <w:rPr>
          <w:rFonts w:ascii="Calibri" w:hAnsi="Calibri"/>
          <w:b/>
          <w:color w:val="525866"/>
          <w:sz w:val="22"/>
        </w:rPr>
        <w:t xml:space="preserve">Implication: </w:t>
      </w:r>
      <w:r>
        <w:rPr>
          <w:rFonts w:ascii="Calibri" w:hAnsi="Calibri"/>
          <w:color w:val="525866"/>
          <w:sz w:val="22"/>
        </w:rPr>
        <w:t>Confirms that power equipment demand (transformers, turbines) remains extremely robust, supporting CNP’s ability to procure equipment for its CapEx plan. Also validates the data center buildout thesis that underpins CNP’s load growth.</w:t>
      </w:r>
    </w:p>
    <w:p>
      <w:pPr>
        <w:pStyle w:val="ListBullet"/>
        <w:ind w:left="360" w:hanging="360"/>
      </w:pPr>
      <w:r>
        <w:rPr>
          <w:rFonts w:ascii="Calibri" w:hAnsi="Calibri"/>
          <w:b/>
          <w:color w:val="525866"/>
          <w:sz w:val="22"/>
        </w:rPr>
        <w:t xml:space="preserve">July 22, 2026 — PJM grid disturbance: 3+ GW of data center load disconnects simultaneously. </w:t>
      </w:r>
      <w:r>
        <w:rPr>
          <w:rFonts w:ascii="Calibri" w:hAnsi="Calibri"/>
          <w:color w:val="525866"/>
          <w:sz w:val="22"/>
        </w:rPr>
        <w:t xml:space="preserve">A power line failure near Washington, DC caused 3.1 GW of data center load to drop in 30 seconds, taking 11 minutes for the PJM grid to stabilize. The event highlighted grid reliability risks from large, concentrated data center loads. </w:t>
      </w:r>
      <w:r>
        <w:rPr>
          <w:rFonts w:ascii="Calibri" w:hAnsi="Calibri"/>
          <w:b/>
          <w:color w:val="525866"/>
          <w:sz w:val="22"/>
        </w:rPr>
        <w:t xml:space="preserve">Implication: </w:t>
      </w:r>
      <w:r>
        <w:rPr>
          <w:rFonts w:ascii="Calibri" w:hAnsi="Calibri"/>
          <w:color w:val="525866"/>
          <w:sz w:val="22"/>
        </w:rPr>
        <w:t>Underscores the need for grid hardening and resiliency investment — directly supportive of CNP’s Greater Houston Resiliency Initiative and System Resiliency Plan CapEx.</w:t>
      </w:r>
    </w:p>
    <w:p>
      <w:pPr>
        <w:pStyle w:val="ListBullet"/>
        <w:ind w:left="360" w:hanging="360"/>
      </w:pPr>
      <w:r>
        <w:rPr>
          <w:rFonts w:ascii="Calibri" w:hAnsi="Calibri"/>
          <w:b/>
          <w:color w:val="525866"/>
          <w:sz w:val="22"/>
        </w:rPr>
        <w:t xml:space="preserve">July 20, 2026 — Duke Energy (DUK) reaches rate settlement in North Carolina. </w:t>
      </w:r>
      <w:r>
        <w:rPr>
          <w:rFonts w:ascii="Calibri" w:hAnsi="Calibri"/>
          <w:color w:val="525866"/>
          <w:sz w:val="22"/>
        </w:rPr>
        <w:t xml:space="preserve">DUK agreed to cut its proposed residential rate increase from ~18% to ~9.5% following regulatory hearings, with a two-year phased increase of 5.9% in Year 1 and 3.6% in Year 2. </w:t>
      </w:r>
      <w:r>
        <w:rPr>
          <w:rFonts w:ascii="Calibri" w:hAnsi="Calibri"/>
          <w:b/>
          <w:color w:val="525866"/>
          <w:sz w:val="22"/>
        </w:rPr>
        <w:t xml:space="preserve">Implication: </w:t>
      </w:r>
      <w:r>
        <w:rPr>
          <w:rFonts w:ascii="Calibri" w:hAnsi="Calibri"/>
          <w:color w:val="525866"/>
          <w:sz w:val="22"/>
        </w:rPr>
        <w:t>Highlights the political sensitivity of utility rate increases in a high-CapEx environment; CNP’s Texas regulatory framework (DCRF, TCOS, GRIP mechanisms) provides more automatic recovery and less rate case risk than DUK’s North Carolina structure.</w:t>
      </w:r>
    </w:p>
    <w:p>
      <w:pPr>
        <w:pStyle w:val="ListBullet"/>
        <w:ind w:left="360" w:hanging="360"/>
      </w:pPr>
      <w:r>
        <w:rPr>
          <w:rFonts w:ascii="Calibri" w:hAnsi="Calibri"/>
          <w:b/>
          <w:color w:val="525866"/>
          <w:sz w:val="22"/>
        </w:rPr>
        <w:t xml:space="preserve">July 14, 2026 — PJM capacity auction clears near record highs at ~$325/MW-day. </w:t>
      </w:r>
      <w:r>
        <w:rPr>
          <w:rFonts w:ascii="Calibri" w:hAnsi="Calibri"/>
          <w:color w:val="525866"/>
          <w:sz w:val="22"/>
        </w:rPr>
        <w:t xml:space="preserve">PJM’s annual capacity auction cleared at the maximum allowed price cap for the second consecutive year, with prices up 1,000%+ since 2024. PJM fell short of its reliability requirement for the second consecutive auction. </w:t>
      </w:r>
      <w:r>
        <w:rPr>
          <w:rFonts w:ascii="Calibri" w:hAnsi="Calibri"/>
          <w:b/>
          <w:color w:val="525866"/>
          <w:sz w:val="22"/>
        </w:rPr>
        <w:t xml:space="preserve">Implication: </w:t>
      </w:r>
      <w:r>
        <w:rPr>
          <w:rFonts w:ascii="Calibri" w:hAnsi="Calibri"/>
          <w:color w:val="525866"/>
          <w:sz w:val="22"/>
        </w:rPr>
        <w:t>CNP operates in ERCOT (Texas), not PJM, so direct financial impact is limited. However, the capacity scarcity narrative reinforces the urgency of CNP’s grid investment program and the value of its Houston Electric franchise.</w:t>
      </w:r>
    </w:p>
    <w:p>
      <w:pPr>
        <w:pStyle w:val="ListBullet"/>
        <w:ind w:left="360" w:hanging="360"/>
      </w:pPr>
      <w:r>
        <w:rPr>
          <w:rFonts w:ascii="Calibri" w:hAnsi="Calibri"/>
          <w:b/>
          <w:color w:val="525866"/>
          <w:sz w:val="22"/>
        </w:rPr>
        <w:t xml:space="preserve">July 23, 2026 — Trump administration expands voluntary pledge with utilities on AI energy costs. </w:t>
      </w:r>
      <w:r>
        <w:rPr>
          <w:rFonts w:ascii="Calibri" w:hAnsi="Calibri"/>
          <w:color w:val="525866"/>
          <w:sz w:val="22"/>
        </w:rPr>
        <w:t xml:space="preserve">President Trump expanded a voluntary pledge with governors and electricity companies (including NEE and DUK) to shield consumers from higher utility bills from data center buildouts. </w:t>
      </w:r>
      <w:r>
        <w:rPr>
          <w:rFonts w:ascii="Calibri" w:hAnsi="Calibri"/>
          <w:b/>
          <w:color w:val="525866"/>
          <w:sz w:val="22"/>
        </w:rPr>
        <w:t xml:space="preserve">Implication: </w:t>
      </w:r>
      <w:r>
        <w:rPr>
          <w:rFonts w:ascii="Calibri" w:hAnsi="Calibri"/>
          <w:color w:val="525866"/>
          <w:sz w:val="22"/>
        </w:rPr>
        <w:t>Regulatory/political risk for utilities serving large data center loads; CNP’s emphasis on customer affordability ($4B in projected savings for Texas customers) positions it well relative to peers.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were identified for CNP in the period since the Q1 2026 earnings date (April 23, 2026). The absence of insider buying ahead of a print is neutral — not a negative signal given the company’s blackout window — and no unusual clustered selling was detected.</w:t>
      </w:r>
    </w:p>
    <w:p>
      <w:r>
        <w:rPr>
          <w:rFonts w:ascii="Calibri" w:hAnsi="Calibri"/>
          <w:color w:val="525866"/>
          <w:sz w:val="22"/>
        </w:rPr>
        <w:t>No open-market Form 4 transactions (transaction codes P or S) were returned for CNP insiders in the April 23 – July 28, 2026 window from the SEC insider transaction database. This is consistent with a standard pre-earnings blackout period. No 10b5-1 plan initiations or Form 144 filings were identified for CNP in this period. Nothing stands out as a signal.</w:t>
      </w:r>
    </w:p>
    <w:p>
      <w:pPr>
        <w:pStyle w:val="Heading4"/>
      </w:pPr>
      <w:r>
        <w:rPr>
          <w:rFonts w:ascii="Calibri" w:hAnsi="Calibri"/>
          <w:b/>
          <w:color w:val="3B4259"/>
          <w:sz w:val="22"/>
        </w:rPr>
        <w:t>Capital Deployment &amp; Regulatory Recovery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Read-Through Type</w:t>
            </w:r>
          </w:p>
        </w:tc>
        <w:tc>
          <w:tcPr>
            <w:tcW w:type="dxa" w:w="2880"/>
            <w:shd w:val="clear" w:color="auto" w:fill="3B4259"/>
          </w:tcPr>
          <w:p>
            <w:r>
              <w:rPr>
                <w:rFonts w:ascii="Calibri" w:hAnsi="Calibri"/>
                <w:b/>
                <w:color w:val="FFFFFF"/>
                <w:sz w:val="22"/>
              </w:rPr>
              <w:t>Commentary</w:t>
            </w:r>
          </w:p>
        </w:tc>
        <w:tc>
          <w:tcPr>
            <w:tcW w:type="dxa" w:w="2880"/>
            <w:shd w:val="clear" w:color="auto" w:fill="3B4259"/>
          </w:tcPr>
          <w:p>
            <w:r>
              <w:rPr>
                <w:rFonts w:ascii="Calibri" w:hAnsi="Calibri"/>
                <w:b/>
                <w:color w:val="FFFFFF"/>
                <w:sz w:val="22"/>
              </w:rPr>
              <w:t>Relevance to CNP</w:t>
            </w:r>
          </w:p>
        </w:tc>
      </w:tr>
      <w:tr>
        <w:tc>
          <w:tcPr>
            <w:tcW w:type="dxa" w:w="2880"/>
          </w:tcPr>
          <w:p>
            <w:r>
              <w:rPr>
                <w:rFonts w:ascii="Calibri" w:hAnsi="Calibri"/>
                <w:b/>
                <w:color w:val="30A46C"/>
                <w:sz w:val="22"/>
              </w:rPr>
              <w:t>Relevant Read-Through</w:t>
            </w:r>
          </w:p>
        </w:tc>
        <w:tc>
          <w:tcPr>
            <w:tcW w:type="dxa" w:w="2880"/>
          </w:tcPr>
          <w:p>
            <w:r>
              <w:rPr>
                <w:rFonts w:ascii="Calibri" w:hAnsi="Calibri"/>
                <w:sz w:val="22"/>
              </w:rPr>
              <w:t>FPL CapEx was ~$2.8B in Q2 2026, with full-year capital investments expected at $12–13B for the 12 months ending June 2026. FPL’s reported regulatory ROE was ~11.7% in Q2. Energy Resources added 3.6 GW of renewables and storage to its backlog, its second-largest quarter of additions.</w:t>
            </w:r>
          </w:p>
        </w:tc>
        <w:tc>
          <w:tcPr>
            <w:tcW w:type="dxa" w:w="2880"/>
          </w:tcPr>
          <w:p>
            <w:r>
              <w:rPr>
                <w:rFonts w:ascii="Calibri" w:hAnsi="Calibri"/>
                <w:sz w:val="22"/>
              </w:rPr>
              <w:t>Confirms that large-scale regulated utility CapEx programs are being executed on time and on budget in a high-demand environment. FPL’s 11.7% regulatory ROE is a positive benchmark for CNP’s own rate recovery mechanisms (DCRF, TCOS, GRIP).</w:t>
            </w:r>
          </w:p>
        </w:tc>
      </w:tr>
      <w:tr>
        <w:tc>
          <w:tcPr>
            <w:tcW w:type="dxa" w:w="2880"/>
          </w:tcPr>
          <w:p>
            <w:r>
              <w:rPr>
                <w:rFonts w:ascii="Calibri" w:hAnsi="Calibri"/>
                <w:b/>
                <w:color w:val="30A46C"/>
                <w:sz w:val="22"/>
              </w:rPr>
              <w:t>Relevant Read-Through</w:t>
            </w:r>
          </w:p>
        </w:tc>
        <w:tc>
          <w:tcPr>
            <w:tcW w:type="dxa" w:w="2880"/>
          </w:tcPr>
          <w:p>
            <w:r>
              <w:rPr>
                <w:rFonts w:ascii="Calibri" w:hAnsi="Calibri"/>
                <w:sz w:val="22"/>
              </w:rPr>
              <w:t>NEE has proactively secured supply for both FPL and Energy Resources development plans, including solar panels through 2029, competitively priced domestic battery storage supply through 2029, and transformer capacity through the end of the decade.</w:t>
            </w:r>
          </w:p>
        </w:tc>
        <w:tc>
          <w:tcPr>
            <w:tcW w:type="dxa" w:w="2880"/>
          </w:tcPr>
          <w:p>
            <w:r>
              <w:rPr>
                <w:rFonts w:ascii="Calibri" w:hAnsi="Calibri"/>
                <w:sz w:val="22"/>
              </w:rPr>
              <w:t>Supply chain security is a key execution risk for CNP’s $6.8B 2026 CapEx plan. NEE’s success in locking in long-term supply agreements is a positive signal that the supply chain is manageable for well-capitalized utilities.</w:t>
            </w:r>
          </w:p>
        </w:tc>
      </w:tr>
      <w:tr>
        <w:tc>
          <w:tcPr>
            <w:tcW w:type="dxa" w:w="2880"/>
          </w:tcPr>
          <w:p>
            <w:r>
              <w:rPr>
                <w:rFonts w:ascii="Calibri" w:hAnsi="Calibri"/>
                <w:b/>
                <w:color w:val="E5484D"/>
                <w:sz w:val="22"/>
              </w:rPr>
              <w:t>Weak Read-Through</w:t>
            </w:r>
          </w:p>
        </w:tc>
        <w:tc>
          <w:tcPr>
            <w:tcW w:type="dxa" w:w="2880"/>
          </w:tcPr>
          <w:p>
            <w:r>
              <w:rPr>
                <w:rFonts w:ascii="Calibri" w:hAnsi="Calibri"/>
                <w:sz w:val="22"/>
              </w:rPr>
              <w:t>NEE’s immense scale ($12–13B annual FPL CapEx alone) allows for large-scale interest rate hedging ($46B+ program) and long-term supply agreements that may be less accessible or impactful for a smaller utility.</w:t>
            </w:r>
          </w:p>
        </w:tc>
        <w:tc>
          <w:tcPr>
            <w:tcW w:type="dxa" w:w="2880"/>
          </w:tcPr>
          <w:p>
            <w:r>
              <w:rPr>
                <w:rFonts w:ascii="Calibri" w:hAnsi="Calibri"/>
                <w:sz w:val="22"/>
              </w:rPr>
              <w:t>CNP’s $6.8B FY 2026 CapEx plan is substantial but smaller in absolute terms than FPL alone. CNP’s financing flexibility (new $1B ATM, convertible debt) is more limited than NEE’s, making execution risk comparatively higher.</w:t>
            </w:r>
          </w:p>
        </w:tc>
      </w:tr>
    </w:tbl>
    <w:p>
      <w:pPr>
        <w:pStyle w:val="Heading4"/>
      </w:pPr>
      <w:r>
        <w:rPr>
          <w:rFonts w:ascii="Calibri" w:hAnsi="Calibri"/>
          <w:b/>
          <w:color w:val="3B4259"/>
          <w:sz w:val="22"/>
        </w:rPr>
        <w:t>Capital Deployment &amp; Financing</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Read-Through Type</w:t>
            </w:r>
          </w:p>
        </w:tc>
        <w:tc>
          <w:tcPr>
            <w:tcW w:type="dxa" w:w="2880"/>
            <w:shd w:val="clear" w:color="auto" w:fill="3B4259"/>
          </w:tcPr>
          <w:p>
            <w:r>
              <w:rPr>
                <w:rFonts w:ascii="Calibri" w:hAnsi="Calibri"/>
                <w:b/>
                <w:color w:val="FFFFFF"/>
                <w:sz w:val="22"/>
              </w:rPr>
              <w:t>Commentary</w:t>
            </w:r>
          </w:p>
        </w:tc>
        <w:tc>
          <w:tcPr>
            <w:tcW w:type="dxa" w:w="2880"/>
            <w:shd w:val="clear" w:color="auto" w:fill="3B4259"/>
          </w:tcPr>
          <w:p>
            <w:r>
              <w:rPr>
                <w:rFonts w:ascii="Calibri" w:hAnsi="Calibri"/>
                <w:b/>
                <w:color w:val="FFFFFF"/>
                <w:sz w:val="22"/>
              </w:rPr>
              <w:t>Relevance to CNP</w:t>
            </w:r>
          </w:p>
        </w:tc>
      </w:tr>
      <w:tr>
        <w:tc>
          <w:tcPr>
            <w:tcW w:type="dxa" w:w="2880"/>
          </w:tcPr>
          <w:p>
            <w:r>
              <w:rPr>
                <w:rFonts w:ascii="Calibri" w:hAnsi="Calibri"/>
                <w:b/>
                <w:color w:val="30A46C"/>
                <w:sz w:val="22"/>
              </w:rPr>
              <w:t>Relevant Read-Through</w:t>
            </w:r>
          </w:p>
        </w:tc>
        <w:tc>
          <w:tcPr>
            <w:tcW w:type="dxa" w:w="2880"/>
          </w:tcPr>
          <w:p>
            <w:r>
              <w:rPr>
                <w:rFonts w:ascii="Calibri" w:hAnsi="Calibri"/>
                <w:sz w:val="22"/>
              </w:rPr>
              <w:t>PCG reaffirmed its $73B capital plan through 2030 without additional equity financing. The company identifies at least $5B of customer-beneficial investment opportunities outside the plan. PCG completed a $2.2B utility bond issuance in June, bringing total utility debt financing to $4.4B for the year.</w:t>
            </w:r>
          </w:p>
        </w:tc>
        <w:tc>
          <w:tcPr>
            <w:tcW w:type="dxa" w:w="2880"/>
          </w:tcPr>
          <w:p>
            <w:r>
              <w:rPr>
                <w:rFonts w:ascii="Calibri" w:hAnsi="Calibri"/>
                <w:sz w:val="22"/>
              </w:rPr>
              <w:t>Confirms that large regulated utility capital plans can be executed without incremental equity in a high-rate environment. CNP’s own equity-light strategy (ATM program, convertible debt, AMT refund) is consistent with this approach. PCG’s successful bond issuance at scale is a positive signal for CNP’s own debt financing needs.</w:t>
            </w:r>
          </w:p>
        </w:tc>
      </w:tr>
      <w:tr>
        <w:tc>
          <w:tcPr>
            <w:tcW w:type="dxa" w:w="2880"/>
          </w:tcPr>
          <w:p>
            <w:r>
              <w:rPr>
                <w:rFonts w:ascii="Calibri" w:hAnsi="Calibri"/>
                <w:b/>
                <w:color w:val="30A46C"/>
                <w:sz w:val="22"/>
              </w:rPr>
              <w:t>Relevant Read-Through</w:t>
            </w:r>
          </w:p>
        </w:tc>
        <w:tc>
          <w:tcPr>
            <w:tcW w:type="dxa" w:w="2880"/>
          </w:tcPr>
          <w:p>
            <w:r>
              <w:rPr>
                <w:rFonts w:ascii="Calibri" w:hAnsi="Calibri"/>
                <w:sz w:val="22"/>
              </w:rPr>
              <w:t>PCG is targeting FFO to debt in the mid-teens and is making progress toward investment-grade credit ratings (S&amp;P upgraded to one notch below investment grade). Both S&amp;P and Moody’s highlight a durable legislative solution to wildfire liability as the catalyst for additional upgrades.</w:t>
            </w:r>
          </w:p>
        </w:tc>
        <w:tc>
          <w:tcPr>
            <w:tcW w:type="dxa" w:w="2880"/>
          </w:tcPr>
          <w:p>
            <w:r>
              <w:rPr>
                <w:rFonts w:ascii="Calibri" w:hAnsi="Calibri"/>
                <w:sz w:val="22"/>
              </w:rPr>
              <w:t>CNP’s FFO/debt target (high end of cushion by YE 2026) and credit metric recovery trajectory are analogous to PCG’s path. The general principle that credit metric improvement unlocks lower financing costs and better customer affordability is directly applicable to CNP.</w:t>
            </w:r>
          </w:p>
        </w:tc>
      </w:tr>
      <w:tr>
        <w:tc>
          <w:tcPr>
            <w:tcW w:type="dxa" w:w="2880"/>
          </w:tcPr>
          <w:p>
            <w:r>
              <w:rPr>
                <w:rFonts w:ascii="Calibri" w:hAnsi="Calibri"/>
                <w:b/>
                <w:color w:val="E5484D"/>
                <w:sz w:val="22"/>
              </w:rPr>
              <w:t>Weak Read-Through</w:t>
            </w:r>
          </w:p>
        </w:tc>
        <w:tc>
          <w:tcPr>
            <w:tcW w:type="dxa" w:w="2880"/>
          </w:tcPr>
          <w:p>
            <w:r>
              <w:rPr>
                <w:rFonts w:ascii="Calibri" w:hAnsi="Calibri"/>
                <w:sz w:val="22"/>
              </w:rPr>
              <w:t>PCG’s capital plan re-evaluation risk is heavily tied to California’s specific wildfire liability legislation (SB 254). The company stated that if the framework ‘remains unresolved or insufficient, then we would need to reevaluate our capital allocation priorities and long-term investment plans.’</w:t>
            </w:r>
          </w:p>
        </w:tc>
        <w:tc>
          <w:tcPr>
            <w:tcW w:type="dxa" w:w="2880"/>
          </w:tcPr>
          <w:p>
            <w:r>
              <w:rPr>
                <w:rFonts w:ascii="Calibri" w:hAnsi="Calibri"/>
                <w:sz w:val="22"/>
              </w:rPr>
              <w:t>CNP does not face wildfire liability risk of the same magnitude as PCG. CNP’s capital plan risks are driven by ERCOT interconnection timelines, regulatory recovery mechanisms, and credit metrics — not wildfire legislation. The specific California risk is not a read-through for CNP.</w:t>
            </w:r>
          </w:p>
        </w:tc>
      </w:tr>
    </w:tbl>
    <w:p>
      <w:pPr>
        <w:pStyle w:val="Heading4"/>
      </w:pPr>
      <w:r>
        <w:rPr>
          <w:rFonts w:ascii="Calibri" w:hAnsi="Calibri"/>
          <w:b/>
          <w:color w:val="3B4259"/>
          <w:sz w:val="22"/>
        </w:rPr>
        <w:t>Regulatory Recovery &amp; Affordability</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Read-Through Type</w:t>
            </w:r>
          </w:p>
        </w:tc>
        <w:tc>
          <w:tcPr>
            <w:tcW w:type="dxa" w:w="2880"/>
            <w:shd w:val="clear" w:color="auto" w:fill="3B4259"/>
          </w:tcPr>
          <w:p>
            <w:r>
              <w:rPr>
                <w:rFonts w:ascii="Calibri" w:hAnsi="Calibri"/>
                <w:b/>
                <w:color w:val="FFFFFF"/>
                <w:sz w:val="22"/>
              </w:rPr>
              <w:t>Commentary</w:t>
            </w:r>
          </w:p>
        </w:tc>
        <w:tc>
          <w:tcPr>
            <w:tcW w:type="dxa" w:w="2880"/>
            <w:shd w:val="clear" w:color="auto" w:fill="3B4259"/>
          </w:tcPr>
          <w:p>
            <w:r>
              <w:rPr>
                <w:rFonts w:ascii="Calibri" w:hAnsi="Calibri"/>
                <w:b/>
                <w:color w:val="FFFFFF"/>
                <w:sz w:val="22"/>
              </w:rPr>
              <w:t>Relevance to CNP</w:t>
            </w:r>
          </w:p>
        </w:tc>
      </w:tr>
      <w:tr>
        <w:tc>
          <w:tcPr>
            <w:tcW w:type="dxa" w:w="2880"/>
          </w:tcPr>
          <w:p>
            <w:r>
              <w:rPr>
                <w:rFonts w:ascii="Calibri" w:hAnsi="Calibri"/>
                <w:b/>
                <w:color w:val="30A46C"/>
                <w:sz w:val="22"/>
              </w:rPr>
              <w:t>Relevant Read-Through</w:t>
            </w:r>
          </w:p>
        </w:tc>
        <w:tc>
          <w:tcPr>
            <w:tcW w:type="dxa" w:w="2880"/>
          </w:tcPr>
          <w:p>
            <w:r>
              <w:rPr>
                <w:rFonts w:ascii="Calibri" w:hAnsi="Calibri"/>
                <w:sz w:val="22"/>
              </w:rPr>
              <w:t>PCG is committed to its ‘path to flat’ targeting 0–3% annual customer bill growth. The company is on track to deliver 2–4% annual reductions in nonfuel O&amp;M, with potential for further savings from strategic sourcing and AI. PCG filed for interim rate recovery effective January 2027 to smooth customer rates.</w:t>
            </w:r>
          </w:p>
        </w:tc>
        <w:tc>
          <w:tcPr>
            <w:tcW w:type="dxa" w:w="2880"/>
          </w:tcPr>
          <w:p>
            <w:r>
              <w:rPr>
                <w:rFonts w:ascii="Calibri" w:hAnsi="Calibri"/>
                <w:sz w:val="22"/>
              </w:rPr>
              <w:t>CNP’s emphasis on customer affordability and its use of automatic recovery mechanisms (DCRF, TCOS, GRIP) to smooth rate impacts is directly analogous to PCG’s approach. O&amp;M discipline is a shared theme; CNP’s ability to demonstrate cost control at Q2 will be watched.</w:t>
            </w:r>
          </w:p>
        </w:tc>
      </w:tr>
      <w:tr>
        <w:tc>
          <w:tcPr>
            <w:tcW w:type="dxa" w:w="2880"/>
          </w:tcPr>
          <w:p>
            <w:r>
              <w:rPr>
                <w:rFonts w:ascii="Calibri" w:hAnsi="Calibri"/>
                <w:b/>
                <w:color w:val="30A46C"/>
                <w:sz w:val="22"/>
              </w:rPr>
              <w:t>Relevant Read-Through</w:t>
            </w:r>
          </w:p>
        </w:tc>
        <w:tc>
          <w:tcPr>
            <w:tcW w:type="dxa" w:w="2880"/>
          </w:tcPr>
          <w:p>
            <w:r>
              <w:rPr>
                <w:rFonts w:ascii="Calibri" w:hAnsi="Calibri"/>
                <w:sz w:val="22"/>
              </w:rPr>
              <w:t>PCG’s reliability improved 23% year-to-date vs. the same period last year, driven by fewer outages and faster restoration times. This is the fourth year of no major fires linked to PG&amp;E equipment.</w:t>
            </w:r>
          </w:p>
        </w:tc>
        <w:tc>
          <w:tcPr>
            <w:tcW w:type="dxa" w:w="2880"/>
          </w:tcPr>
          <w:p>
            <w:r>
              <w:rPr>
                <w:rFonts w:ascii="Calibri" w:hAnsi="Calibri"/>
                <w:sz w:val="22"/>
              </w:rPr>
              <w:t>CNP’s Greater Houston Resiliency Initiative and System Resiliency Plan are designed to deliver similar reliability improvements. PCG’s demonstrated ability to improve reliability while managing costs is a positive precedent for CNP’s own resiliency investment program.</w:t>
            </w:r>
          </w:p>
        </w:tc>
      </w:tr>
    </w:tbl>
    <w:p>
      <w:pPr>
        <w:pStyle w:val="Heading3"/>
      </w:pPr>
      <w:r>
        <w:rPr>
          <w:rFonts w:ascii="Calibri" w:hAnsi="Calibri"/>
          <w:b/>
          <w:color w:val="3B4259"/>
          <w:sz w:val="24"/>
        </w:rPr>
        <w:t>8C.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NEE Signal</w:t>
            </w:r>
          </w:p>
        </w:tc>
        <w:tc>
          <w:tcPr>
            <w:tcW w:type="dxa" w:w="2160"/>
            <w:shd w:val="clear" w:color="auto" w:fill="3B4259"/>
          </w:tcPr>
          <w:p>
            <w:r>
              <w:rPr>
                <w:rFonts w:ascii="Calibri" w:hAnsi="Calibri"/>
                <w:b/>
                <w:color w:val="FFFFFF"/>
                <w:sz w:val="22"/>
              </w:rPr>
              <w:t>PCG Signal</w:t>
            </w:r>
          </w:p>
        </w:tc>
        <w:tc>
          <w:tcPr>
            <w:tcW w:type="dxa" w:w="2160"/>
            <w:shd w:val="clear" w:color="auto" w:fill="3B4259"/>
          </w:tcPr>
          <w:p>
            <w:r>
              <w:rPr>
                <w:rFonts w:ascii="Calibri" w:hAnsi="Calibri"/>
                <w:b/>
                <w:color w:val="FFFFFF"/>
                <w:sz w:val="22"/>
              </w:rPr>
              <w:t>CNP Implication</w:t>
            </w:r>
          </w:p>
        </w:tc>
      </w:tr>
      <w:tr>
        <w:tc>
          <w:tcPr>
            <w:tcW w:type="dxa" w:w="2160"/>
          </w:tcPr>
          <w:p>
            <w:r>
              <w:rPr>
                <w:rFonts w:ascii="Calibri" w:hAnsi="Calibri"/>
                <w:sz w:val="22"/>
              </w:rPr>
              <w:t>Data Center Demand</w:t>
            </w:r>
          </w:p>
        </w:tc>
        <w:tc>
          <w:tcPr>
            <w:tcW w:type="dxa" w:w="2160"/>
          </w:tcPr>
          <w:p>
            <w:r>
              <w:rPr>
                <w:rFonts w:ascii="Calibri" w:hAnsi="Calibri"/>
                <w:b/>
                <w:color w:val="30A46C"/>
                <w:sz w:val="22"/>
              </w:rPr>
              <w:t>Positive — FPL raised large load forecast to 8 GW by 2032; 21 GW total interest</w:t>
            </w:r>
          </w:p>
        </w:tc>
        <w:tc>
          <w:tcPr>
            <w:tcW w:type="dxa" w:w="2160"/>
          </w:tcPr>
          <w:p>
            <w:r>
              <w:rPr>
                <w:rFonts w:ascii="Calibri" w:hAnsi="Calibri"/>
                <w:b/>
                <w:color w:val="30A46C"/>
                <w:sz w:val="22"/>
              </w:rPr>
              <w:t>Positive — Pipeline grew to 12+ GW; disciplined qualification criteria</w:t>
            </w:r>
          </w:p>
        </w:tc>
        <w:tc>
          <w:tcPr>
            <w:tcW w:type="dxa" w:w="2160"/>
          </w:tcPr>
          <w:p>
            <w:r>
              <w:rPr>
                <w:rFonts w:ascii="Calibri" w:hAnsi="Calibri"/>
                <w:sz w:val="22"/>
              </w:rPr>
              <w:t>Validates CNP’s 12.2 GW firmly committed load; demand acceleration is real and broad-based</w:t>
            </w:r>
          </w:p>
        </w:tc>
      </w:tr>
      <w:tr>
        <w:tc>
          <w:tcPr>
            <w:tcW w:type="dxa" w:w="2160"/>
          </w:tcPr>
          <w:p>
            <w:r>
              <w:rPr>
                <w:rFonts w:ascii="Calibri" w:hAnsi="Calibri"/>
                <w:sz w:val="22"/>
              </w:rPr>
              <w:t>CapEx Execution</w:t>
            </w:r>
          </w:p>
        </w:tc>
        <w:tc>
          <w:tcPr>
            <w:tcW w:type="dxa" w:w="2160"/>
          </w:tcPr>
          <w:p>
            <w:r>
              <w:rPr>
                <w:rFonts w:ascii="Calibri" w:hAnsi="Calibri"/>
                <w:b/>
                <w:color w:val="30A46C"/>
                <w:sz w:val="22"/>
              </w:rPr>
              <w:t>Positive — $2.8B Q2 CapEx; supply chain secured through 2029</w:t>
            </w:r>
          </w:p>
        </w:tc>
        <w:tc>
          <w:tcPr>
            <w:tcW w:type="dxa" w:w="2160"/>
          </w:tcPr>
          <w:p>
            <w:r>
              <w:rPr>
                <w:rFonts w:ascii="Calibri" w:hAnsi="Calibri"/>
                <w:b/>
                <w:color w:val="30A46C"/>
                <w:sz w:val="22"/>
              </w:rPr>
              <w:t>Positive — $73B plan reaffirmed; $2.2B bond issuance completed in June</w:t>
            </w:r>
          </w:p>
        </w:tc>
        <w:tc>
          <w:tcPr>
            <w:tcW w:type="dxa" w:w="2160"/>
          </w:tcPr>
          <w:p>
            <w:r>
              <w:rPr>
                <w:rFonts w:ascii="Calibri" w:hAnsi="Calibri"/>
                <w:sz w:val="22"/>
              </w:rPr>
              <w:t>Positive for CNP’s $6.8B FY 2026 plan execution; supply chain manageable for well-capitalized utilities</w:t>
            </w:r>
          </w:p>
        </w:tc>
      </w:tr>
      <w:tr>
        <w:tc>
          <w:tcPr>
            <w:tcW w:type="dxa" w:w="2160"/>
          </w:tcPr>
          <w:p>
            <w:r>
              <w:rPr>
                <w:rFonts w:ascii="Calibri" w:hAnsi="Calibri"/>
                <w:sz w:val="22"/>
              </w:rPr>
              <w:t>Customer Affordability</w:t>
            </w:r>
          </w:p>
        </w:tc>
        <w:tc>
          <w:tcPr>
            <w:tcW w:type="dxa" w:w="2160"/>
          </w:tcPr>
          <w:p>
            <w:r>
              <w:rPr>
                <w:rFonts w:ascii="Calibri" w:hAnsi="Calibri"/>
                <w:b/>
                <w:color w:val="30A46C"/>
                <w:sz w:val="22"/>
              </w:rPr>
              <w:t>Positive — Large load tariff protects existing customers; legislative support in Florida</w:t>
            </w:r>
          </w:p>
        </w:tc>
        <w:tc>
          <w:tcPr>
            <w:tcW w:type="dxa" w:w="2160"/>
          </w:tcPr>
          <w:p>
            <w:r>
              <w:rPr>
                <w:rFonts w:ascii="Calibri" w:hAnsi="Calibri"/>
                <w:b/>
                <w:color w:val="30A46C"/>
                <w:sz w:val="22"/>
              </w:rPr>
              <w:t>Positive — ‘Path to flat’ bill growth; 2–4% O&amp;M reductions</w:t>
            </w:r>
          </w:p>
        </w:tc>
        <w:tc>
          <w:tcPr>
            <w:tcW w:type="dxa" w:w="2160"/>
          </w:tcPr>
          <w:p>
            <w:r>
              <w:rPr>
                <w:rFonts w:ascii="Calibri" w:hAnsi="Calibri"/>
                <w:sz w:val="22"/>
              </w:rPr>
              <w:t>CNP’s $4B savings narrative is well-positioned; regulatory/political risk from Trump pledge is manageable</w:t>
            </w:r>
          </w:p>
        </w:tc>
      </w:tr>
      <w:tr>
        <w:tc>
          <w:tcPr>
            <w:tcW w:type="dxa" w:w="2160"/>
          </w:tcPr>
          <w:p>
            <w:r>
              <w:rPr>
                <w:rFonts w:ascii="Calibri" w:hAnsi="Calibri"/>
                <w:sz w:val="22"/>
              </w:rPr>
              <w:t>Financing / Credit</w:t>
            </w:r>
          </w:p>
        </w:tc>
        <w:tc>
          <w:tcPr>
            <w:tcW w:type="dxa" w:w="2160"/>
          </w:tcPr>
          <w:p>
            <w:r>
              <w:rPr>
                <w:rFonts w:ascii="Calibri" w:hAnsi="Calibri"/>
                <w:b/>
                <w:color w:val="E5484D"/>
                <w:sz w:val="22"/>
              </w:rPr>
              <w:t>Neutral — NEE’s scale advantage in hedging not replicable by CNP</w:t>
            </w:r>
          </w:p>
        </w:tc>
        <w:tc>
          <w:tcPr>
            <w:tcW w:type="dxa" w:w="2160"/>
          </w:tcPr>
          <w:p>
            <w:r>
              <w:rPr>
                <w:rFonts w:ascii="Calibri" w:hAnsi="Calibri"/>
                <w:b/>
                <w:color w:val="30A46C"/>
                <w:sz w:val="22"/>
              </w:rPr>
              <w:t>Positive — Self-funded plan; progress toward investment grade</w:t>
            </w:r>
          </w:p>
        </w:tc>
        <w:tc>
          <w:tcPr>
            <w:tcW w:type="dxa" w:w="2160"/>
          </w:tcPr>
          <w:p>
            <w:r>
              <w:rPr>
                <w:rFonts w:ascii="Calibri" w:hAnsi="Calibri"/>
                <w:sz w:val="22"/>
              </w:rPr>
              <w:t>CNP’s FFO/debt recovery trajectory is on track; new ATM program provides flexibility</w:t>
            </w:r>
          </w:p>
        </w:tc>
      </w:tr>
      <w:tr>
        <w:tc>
          <w:tcPr>
            <w:tcW w:type="dxa" w:w="2160"/>
          </w:tcPr>
          <w:p>
            <w:r>
              <w:rPr>
                <w:rFonts w:ascii="Calibri" w:hAnsi="Calibri"/>
                <w:sz w:val="22"/>
              </w:rPr>
              <w:t>Regulatory Environment</w:t>
            </w:r>
          </w:p>
        </w:tc>
        <w:tc>
          <w:tcPr>
            <w:tcW w:type="dxa" w:w="2160"/>
          </w:tcPr>
          <w:p>
            <w:r>
              <w:rPr>
                <w:rFonts w:ascii="Calibri" w:hAnsi="Calibri"/>
                <w:b/>
                <w:color w:val="30A46C"/>
                <w:sz w:val="22"/>
              </w:rPr>
              <w:t>Positive — Florida legislative support for large load tariffs</w:t>
            </w:r>
          </w:p>
        </w:tc>
        <w:tc>
          <w:tcPr>
            <w:tcW w:type="dxa" w:w="2160"/>
          </w:tcPr>
          <w:p>
            <w:r>
              <w:rPr>
                <w:rFonts w:ascii="Calibri" w:hAnsi="Calibri"/>
                <w:b/>
                <w:color w:val="E5484D"/>
                <w:sz w:val="22"/>
              </w:rPr>
              <w:t>Weak — California wildfire liability risk not applicable to CNP</w:t>
            </w:r>
          </w:p>
        </w:tc>
        <w:tc>
          <w:tcPr>
            <w:tcW w:type="dxa" w:w="2160"/>
          </w:tcPr>
          <w:p>
            <w:r>
              <w:rPr>
                <w:rFonts w:ascii="Calibri" w:hAnsi="Calibri"/>
                <w:sz w:val="22"/>
              </w:rPr>
              <w:t>CNP’s Texas regulatory framework (DCRF, TCOS, GRIP) is more favorable than both California and North Carolina structures</w:t>
            </w:r>
          </w:p>
        </w:tc>
      </w:tr>
    </w:tbl>
    <w:p>
      <w:r>
        <w:rPr>
          <w:rFonts w:ascii="Calibri" w:hAnsi="Calibri"/>
          <w:b/>
          <w:color w:val="525866"/>
          <w:sz w:val="22"/>
        </w:rPr>
        <w:t xml:space="preserve">Sources: </w:t>
      </w:r>
      <w:r>
        <w:rPr>
          <w:rFonts w:ascii="Calibri" w:hAnsi="Calibri"/>
          <w:color w:val="525866"/>
          <w:sz w:val="22"/>
        </w:rPr>
        <w:t>NEE Q2 2026 Earnings Call Transcript (July 24, 2026); PCG Q2 2026 Earnings Call Transcript (July 22–23, 2026); NEE Q2 2026 Earnings Release (8-K, July 24, 2026); PCG Q2 2026 Earnings Release (8-K, July 22, 2026). All commentary is from Q2 2026 results and is applicable to the current reporting quarter for CNP.</w:t>
      </w:r>
    </w:p>
    <w:p>
      <w:r>
        <w:br w:type="page"/>
      </w:r>
    </w:p>
    <w:p>
      <w:pPr>
        <w:pStyle w:val="Heading2"/>
      </w:pPr>
      <w:r>
        <w:rPr>
          <w:rFonts w:ascii="Calibri" w:hAnsi="Calibri"/>
          <w:b/>
          <w:color w:val="3B4259"/>
          <w:sz w:val="28"/>
        </w:rPr>
        <w:t>Appendix: EPS Revision Momentum (Trailing 12 Months)</w:t>
      </w:r>
    </w:p>
    <w:p>
      <w:r>
        <w:rPr>
          <w:rFonts w:ascii="Calibri" w:hAnsi="Calibri"/>
          <w:color w:val="525866"/>
          <w:sz w:val="22"/>
        </w:rPr>
        <w:t>The table below shows the trailing 12-month consensus non-GAAP EPS estimate for CNP’s Q2 2026 (the current unreported quarter ending June 30, 2026) alongside the stock price at each month-end. Source: Visible Alpha Consensus and Actuals Data.</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Q2 2026 EPS Estimate ($)</w:t>
            </w:r>
          </w:p>
        </w:tc>
        <w:tc>
          <w:tcPr>
            <w:tcW w:type="dxa" w:w="2880"/>
            <w:shd w:val="clear" w:color="auto" w:fill="3B4259"/>
          </w:tcPr>
          <w:p>
            <w:r>
              <w:rPr>
                <w:rFonts w:ascii="Calibri" w:hAnsi="Calibri"/>
                <w:b/>
                <w:color w:val="FFFFFF"/>
                <w:sz w:val="22"/>
              </w:rPr>
              <w:t>CNP Stock Price ($)</w:t>
            </w:r>
          </w:p>
        </w:tc>
      </w:tr>
      <w:tr>
        <w:tc>
          <w:tcPr>
            <w:tcW w:type="dxa" w:w="2880"/>
          </w:tcPr>
          <w:p>
            <w:r>
              <w:rPr>
                <w:rFonts w:ascii="Calibri" w:hAnsi="Calibri"/>
                <w:sz w:val="22"/>
              </w:rPr>
              <w:t>Aug 2025</w:t>
            </w:r>
          </w:p>
        </w:tc>
        <w:tc>
          <w:tcPr>
            <w:tcW w:type="dxa" w:w="2880"/>
          </w:tcPr>
          <w:p>
            <w:r>
              <w:rPr>
                <w:rFonts w:ascii="Calibri" w:hAnsi="Calibri"/>
                <w:sz w:val="22"/>
              </w:rPr>
              <w:t>$0.352</w:t>
            </w:r>
          </w:p>
        </w:tc>
        <w:tc>
          <w:tcPr>
            <w:tcW w:type="dxa" w:w="2880"/>
          </w:tcPr>
          <w:p>
            <w:r>
              <w:rPr>
                <w:rFonts w:ascii="Calibri" w:hAnsi="Calibri"/>
                <w:sz w:val="22"/>
              </w:rPr>
              <w:t>$37.71</w:t>
            </w:r>
          </w:p>
        </w:tc>
      </w:tr>
      <w:tr>
        <w:tc>
          <w:tcPr>
            <w:tcW w:type="dxa" w:w="2880"/>
          </w:tcPr>
          <w:p>
            <w:r>
              <w:rPr>
                <w:rFonts w:ascii="Calibri" w:hAnsi="Calibri"/>
                <w:sz w:val="22"/>
              </w:rPr>
              <w:t>Sep 2025</w:t>
            </w:r>
          </w:p>
        </w:tc>
        <w:tc>
          <w:tcPr>
            <w:tcW w:type="dxa" w:w="2880"/>
          </w:tcPr>
          <w:p>
            <w:r>
              <w:rPr>
                <w:rFonts w:ascii="Calibri" w:hAnsi="Calibri"/>
                <w:sz w:val="22"/>
              </w:rPr>
              <w:t>$0.340</w:t>
            </w:r>
          </w:p>
        </w:tc>
        <w:tc>
          <w:tcPr>
            <w:tcW w:type="dxa" w:w="2880"/>
          </w:tcPr>
          <w:p>
            <w:r>
              <w:rPr>
                <w:rFonts w:ascii="Calibri" w:hAnsi="Calibri"/>
                <w:sz w:val="22"/>
              </w:rPr>
              <w:t>$38.80</w:t>
            </w:r>
          </w:p>
        </w:tc>
      </w:tr>
      <w:tr>
        <w:tc>
          <w:tcPr>
            <w:tcW w:type="dxa" w:w="2880"/>
          </w:tcPr>
          <w:p>
            <w:r>
              <w:rPr>
                <w:rFonts w:ascii="Calibri" w:hAnsi="Calibri"/>
                <w:sz w:val="22"/>
              </w:rPr>
              <w:t>Oct 2025</w:t>
            </w:r>
          </w:p>
        </w:tc>
        <w:tc>
          <w:tcPr>
            <w:tcW w:type="dxa" w:w="2880"/>
          </w:tcPr>
          <w:p>
            <w:r>
              <w:rPr>
                <w:rFonts w:ascii="Calibri" w:hAnsi="Calibri"/>
                <w:sz w:val="22"/>
              </w:rPr>
              <w:t>$0.381</w:t>
            </w:r>
          </w:p>
        </w:tc>
        <w:tc>
          <w:tcPr>
            <w:tcW w:type="dxa" w:w="2880"/>
          </w:tcPr>
          <w:p>
            <w:r>
              <w:rPr>
                <w:rFonts w:ascii="Calibri" w:hAnsi="Calibri"/>
                <w:sz w:val="22"/>
              </w:rPr>
              <w:t>$38.24</w:t>
            </w:r>
          </w:p>
        </w:tc>
      </w:tr>
      <w:tr>
        <w:tc>
          <w:tcPr>
            <w:tcW w:type="dxa" w:w="2880"/>
          </w:tcPr>
          <w:p>
            <w:r>
              <w:rPr>
                <w:rFonts w:ascii="Calibri" w:hAnsi="Calibri"/>
                <w:sz w:val="22"/>
              </w:rPr>
              <w:t>Nov 2025</w:t>
            </w:r>
          </w:p>
        </w:tc>
        <w:tc>
          <w:tcPr>
            <w:tcW w:type="dxa" w:w="2880"/>
          </w:tcPr>
          <w:p>
            <w:r>
              <w:rPr>
                <w:rFonts w:ascii="Calibri" w:hAnsi="Calibri"/>
                <w:sz w:val="22"/>
              </w:rPr>
              <w:t>$0.389</w:t>
            </w:r>
          </w:p>
        </w:tc>
        <w:tc>
          <w:tcPr>
            <w:tcW w:type="dxa" w:w="2880"/>
          </w:tcPr>
          <w:p>
            <w:r>
              <w:rPr>
                <w:rFonts w:ascii="Calibri" w:hAnsi="Calibri"/>
                <w:sz w:val="22"/>
              </w:rPr>
              <w:t>$39.98</w:t>
            </w:r>
          </w:p>
        </w:tc>
      </w:tr>
      <w:tr>
        <w:tc>
          <w:tcPr>
            <w:tcW w:type="dxa" w:w="2880"/>
          </w:tcPr>
          <w:p>
            <w:r>
              <w:rPr>
                <w:rFonts w:ascii="Calibri" w:hAnsi="Calibri"/>
                <w:sz w:val="22"/>
              </w:rPr>
              <w:t>Dec 2025</w:t>
            </w:r>
          </w:p>
        </w:tc>
        <w:tc>
          <w:tcPr>
            <w:tcW w:type="dxa" w:w="2880"/>
          </w:tcPr>
          <w:p>
            <w:r>
              <w:rPr>
                <w:rFonts w:ascii="Calibri" w:hAnsi="Calibri"/>
                <w:sz w:val="22"/>
              </w:rPr>
              <w:t>$0.377</w:t>
            </w:r>
          </w:p>
        </w:tc>
        <w:tc>
          <w:tcPr>
            <w:tcW w:type="dxa" w:w="2880"/>
          </w:tcPr>
          <w:p>
            <w:r>
              <w:rPr>
                <w:rFonts w:ascii="Calibri" w:hAnsi="Calibri"/>
                <w:sz w:val="22"/>
              </w:rPr>
              <w:t>$38.34</w:t>
            </w:r>
          </w:p>
        </w:tc>
      </w:tr>
      <w:tr>
        <w:tc>
          <w:tcPr>
            <w:tcW w:type="dxa" w:w="2880"/>
          </w:tcPr>
          <w:p>
            <w:r>
              <w:rPr>
                <w:rFonts w:ascii="Calibri" w:hAnsi="Calibri"/>
                <w:sz w:val="22"/>
              </w:rPr>
              <w:t>Jan 2026</w:t>
            </w:r>
          </w:p>
        </w:tc>
        <w:tc>
          <w:tcPr>
            <w:tcW w:type="dxa" w:w="2880"/>
          </w:tcPr>
          <w:p>
            <w:r>
              <w:rPr>
                <w:rFonts w:ascii="Calibri" w:hAnsi="Calibri"/>
                <w:sz w:val="22"/>
              </w:rPr>
              <w:t>$0.378</w:t>
            </w:r>
          </w:p>
        </w:tc>
        <w:tc>
          <w:tcPr>
            <w:tcW w:type="dxa" w:w="2880"/>
          </w:tcPr>
          <w:p>
            <w:r>
              <w:rPr>
                <w:rFonts w:ascii="Calibri" w:hAnsi="Calibri"/>
                <w:sz w:val="22"/>
              </w:rPr>
              <w:t>$39.69</w:t>
            </w:r>
          </w:p>
        </w:tc>
      </w:tr>
      <w:tr>
        <w:tc>
          <w:tcPr>
            <w:tcW w:type="dxa" w:w="2880"/>
          </w:tcPr>
          <w:p>
            <w:r>
              <w:rPr>
                <w:rFonts w:ascii="Calibri" w:hAnsi="Calibri"/>
                <w:sz w:val="22"/>
              </w:rPr>
              <w:t>Feb 2026</w:t>
            </w:r>
          </w:p>
        </w:tc>
        <w:tc>
          <w:tcPr>
            <w:tcW w:type="dxa" w:w="2880"/>
          </w:tcPr>
          <w:p>
            <w:r>
              <w:rPr>
                <w:rFonts w:ascii="Calibri" w:hAnsi="Calibri"/>
                <w:sz w:val="22"/>
              </w:rPr>
              <w:t>$0.390</w:t>
            </w:r>
          </w:p>
        </w:tc>
        <w:tc>
          <w:tcPr>
            <w:tcW w:type="dxa" w:w="2880"/>
          </w:tcPr>
          <w:p>
            <w:r>
              <w:rPr>
                <w:rFonts w:ascii="Calibri" w:hAnsi="Calibri"/>
                <w:sz w:val="22"/>
              </w:rPr>
              <w:t>$43.50</w:t>
            </w:r>
          </w:p>
        </w:tc>
      </w:tr>
      <w:tr>
        <w:tc>
          <w:tcPr>
            <w:tcW w:type="dxa" w:w="2880"/>
          </w:tcPr>
          <w:p>
            <w:r>
              <w:rPr>
                <w:rFonts w:ascii="Calibri" w:hAnsi="Calibri"/>
                <w:sz w:val="22"/>
              </w:rPr>
              <w:t>Mar 2026</w:t>
            </w:r>
          </w:p>
        </w:tc>
        <w:tc>
          <w:tcPr>
            <w:tcW w:type="dxa" w:w="2880"/>
          </w:tcPr>
          <w:p>
            <w:r>
              <w:rPr>
                <w:rFonts w:ascii="Calibri" w:hAnsi="Calibri"/>
                <w:sz w:val="22"/>
              </w:rPr>
              <w:t>$0.377</w:t>
            </w:r>
          </w:p>
        </w:tc>
        <w:tc>
          <w:tcPr>
            <w:tcW w:type="dxa" w:w="2880"/>
          </w:tcPr>
          <w:p>
            <w:r>
              <w:rPr>
                <w:rFonts w:ascii="Calibri" w:hAnsi="Calibri"/>
                <w:sz w:val="22"/>
              </w:rPr>
              <w:t>$43.16</w:t>
            </w:r>
          </w:p>
        </w:tc>
      </w:tr>
      <w:tr>
        <w:tc>
          <w:tcPr>
            <w:tcW w:type="dxa" w:w="2880"/>
          </w:tcPr>
          <w:p>
            <w:r>
              <w:rPr>
                <w:rFonts w:ascii="Calibri" w:hAnsi="Calibri"/>
                <w:sz w:val="22"/>
              </w:rPr>
              <w:t>Apr 2026</w:t>
            </w:r>
          </w:p>
        </w:tc>
        <w:tc>
          <w:tcPr>
            <w:tcW w:type="dxa" w:w="2880"/>
          </w:tcPr>
          <w:p>
            <w:r>
              <w:rPr>
                <w:rFonts w:ascii="Calibri" w:hAnsi="Calibri"/>
                <w:sz w:val="22"/>
              </w:rPr>
              <w:t>$0.388</w:t>
            </w:r>
          </w:p>
        </w:tc>
        <w:tc>
          <w:tcPr>
            <w:tcW w:type="dxa" w:w="2880"/>
          </w:tcPr>
          <w:p>
            <w:r>
              <w:rPr>
                <w:rFonts w:ascii="Calibri" w:hAnsi="Calibri"/>
                <w:sz w:val="22"/>
              </w:rPr>
              <w:t>$43.65</w:t>
            </w:r>
          </w:p>
        </w:tc>
      </w:tr>
      <w:tr>
        <w:tc>
          <w:tcPr>
            <w:tcW w:type="dxa" w:w="2880"/>
          </w:tcPr>
          <w:p>
            <w:r>
              <w:rPr>
                <w:rFonts w:ascii="Calibri" w:hAnsi="Calibri"/>
                <w:sz w:val="22"/>
              </w:rPr>
              <w:t>May 2026</w:t>
            </w:r>
          </w:p>
        </w:tc>
        <w:tc>
          <w:tcPr>
            <w:tcW w:type="dxa" w:w="2880"/>
          </w:tcPr>
          <w:p>
            <w:r>
              <w:rPr>
                <w:rFonts w:ascii="Calibri" w:hAnsi="Calibri"/>
                <w:sz w:val="22"/>
              </w:rPr>
              <w:t>$0.380</w:t>
            </w:r>
          </w:p>
        </w:tc>
        <w:tc>
          <w:tcPr>
            <w:tcW w:type="dxa" w:w="2880"/>
          </w:tcPr>
          <w:p>
            <w:r>
              <w:rPr>
                <w:rFonts w:ascii="Calibri" w:hAnsi="Calibri"/>
                <w:sz w:val="22"/>
              </w:rPr>
              <w:t>$42.26</w:t>
            </w:r>
          </w:p>
        </w:tc>
      </w:tr>
      <w:tr>
        <w:tc>
          <w:tcPr>
            <w:tcW w:type="dxa" w:w="2880"/>
          </w:tcPr>
          <w:p>
            <w:r>
              <w:rPr>
                <w:rFonts w:ascii="Calibri" w:hAnsi="Calibri"/>
                <w:sz w:val="22"/>
              </w:rPr>
              <w:t>Jun 2026</w:t>
            </w:r>
          </w:p>
        </w:tc>
        <w:tc>
          <w:tcPr>
            <w:tcW w:type="dxa" w:w="2880"/>
          </w:tcPr>
          <w:p>
            <w:r>
              <w:rPr>
                <w:rFonts w:ascii="Calibri" w:hAnsi="Calibri"/>
                <w:sz w:val="22"/>
              </w:rPr>
              <w:t>$0.371</w:t>
            </w:r>
          </w:p>
        </w:tc>
        <w:tc>
          <w:tcPr>
            <w:tcW w:type="dxa" w:w="2880"/>
          </w:tcPr>
          <w:p>
            <w:r>
              <w:rPr>
                <w:rFonts w:ascii="Calibri" w:hAnsi="Calibri"/>
                <w:sz w:val="22"/>
              </w:rPr>
              <w:t>$44.04</w:t>
            </w:r>
          </w:p>
        </w:tc>
      </w:tr>
      <w:tr>
        <w:tc>
          <w:tcPr>
            <w:tcW w:type="dxa" w:w="2880"/>
          </w:tcPr>
          <w:p>
            <w:r>
              <w:rPr>
                <w:rFonts w:ascii="Calibri" w:hAnsi="Calibri"/>
                <w:sz w:val="22"/>
              </w:rPr>
              <w:t>Jul 2026 (latest)</w:t>
            </w:r>
          </w:p>
        </w:tc>
        <w:tc>
          <w:tcPr>
            <w:tcW w:type="dxa" w:w="2880"/>
          </w:tcPr>
          <w:p>
            <w:r>
              <w:rPr>
                <w:rFonts w:ascii="Calibri" w:hAnsi="Calibri"/>
                <w:sz w:val="22"/>
              </w:rPr>
              <w:t>$0.378</w:t>
            </w:r>
          </w:p>
        </w:tc>
        <w:tc>
          <w:tcPr>
            <w:tcW w:type="dxa" w:w="2880"/>
          </w:tcPr>
          <w:p>
            <w:r>
              <w:rPr>
                <w:rFonts w:ascii="Calibri" w:hAnsi="Calibri"/>
                <w:sz w:val="22"/>
              </w:rPr>
              <w:t>$44.02</w:t>
            </w:r>
          </w:p>
        </w:tc>
      </w:tr>
    </w:tbl>
    <w:p>
      <w:r>
        <w:rPr>
          <w:rFonts w:ascii="Calibri" w:hAnsi="Calibri"/>
          <w:b/>
          <w:color w:val="525866"/>
          <w:sz w:val="22"/>
        </w:rPr>
        <w:t xml:space="preserve">Revision Narrative: </w:t>
      </w:r>
      <w:r>
        <w:rPr>
          <w:rFonts w:ascii="Calibri" w:hAnsi="Calibri"/>
          <w:color w:val="525866"/>
          <w:sz w:val="22"/>
        </w:rPr>
        <w:t>The Q2 2026 EPS estimate has been range-bound between $0.340 and $0.390 over the trailing 12 months, with no sustained upward or downward revision trend. The estimate jumped from $0.352 in August 2025 to $0.381 in October 2025 (likely reflecting Q3 2025 beat and guidance reaffirmation), then settled into a tight $0.371–$0.390 band from November 2025 through July 2026. The stock has re-rated meaningfully higher over this period (+16.7% from $37.71 to $44.02), driven primarily by multiple expansion on the load growth narrative rather than EPS revision momentum. This divergence — flat estimates, rising stock — suggests the market is pricing in a structural re-rating of CNP’s growth profile rather than near-term earnings upside. The key risk is that if the load growth narrative disappoints at Q2, the multiple could compress without an EPS cushion to absorb the impact. Source: Visible Alpha Consensus and Actuals Data.</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