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in-earnings-predictions--2026-07-30"/>
    <w:p>
      <w:pPr>
        <w:pStyle w:val="Heading1"/>
      </w:pPr>
      <w:r>
        <w:t xml:space="preserve">COIN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1.24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transaction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Subscription &amp; services revenue guide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620</m:t>
              </m:r>
              <m:r>
                <m:rPr>
                  <m:sty m:val="p"/>
                </m:rPr>
                <m:t>−</m:t>
              </m:r>
              <m:r>
                <m:t>660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640M) vs. cons ~$610M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 frame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4.3</m:t>
              </m:r>
              <m:r>
                <m:rPr>
                  <m:sty m:val="p"/>
                </m:rPr>
                <m:t>−</m:t>
              </m:r>
              <m:r>
                <m:t>4.6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4.45B) vs. cons ~$4.45B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tech &amp; dev + G&amp;A expense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810</m:t>
              </m:r>
              <m:r>
                <m:rPr>
                  <m:sty m:val="p"/>
                </m:rPr>
                <m:t>−</m:t>
              </m:r>
              <m:r>
                <m:t>860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CLARITY Act / regulatory 2H trajectory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constructive/multi-year unlock ~positive vs. cons cautious ~neutral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(STABILIZE)</w:t>
            </w:r>
          </w:p>
        </w:tc>
        <w:tc>
          <w:tcPr/>
          <w:p>
            <w:pPr>
              <w:pStyle w:val="Compact"/>
            </w:pPr>
            <w:r>
              <w:t xml:space="preserve">An 'as-feared' soft Q2 (transaction-revenue and EBITDA misses on the third straight volume decline) drives a modest day-1 idiosyncratic drop and negative out-period revisions as sell-side numbers were already being cut into the print; but the low bar, heavy prior de-risking (already -30% YTD), buyback support, and — crucially — the binary CLARITY Act catalyst into the Aug 7 Senate recess cushion the downside, keeping the 5-day residual roughly flat-to-slightly-negative rather than a full follow-through lower.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2026-07-29T19:20:37Z</dcterms:created>
  <dcterms:modified xsi:type="dcterms:W3CDTF">2026-07-29T19:20:37Z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