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COIN before writing the preview. Let me gather recent filings, transcripts, news, and price data.Let me read the Q1 2026 earnings call transcript and get relevant sections.Let me gather analyst expectations and the Q2 crypto market backdrop.I have enough to write a well-grounded preview. Let me compile a couple of quick price stats.Here is the earnings preview.</w:t>
      </w:r>
    </w:p>
    <w:p>
      <w:r>
        <w:pict>
          <v:rect style="width:0;height:1.5pt" o:hralign="center" o:hrstd="t" o:hr="t"/>
        </w:pict>
      </w:r>
    </w:p>
    <w:bookmarkStart w:id="19" w:name="Xd898ac43a4c2304b3ee01c28b93681d8e9c437a"/>
    <w:p>
      <w:pPr>
        <w:pStyle w:val="Heading1"/>
      </w:pPr>
      <w:r>
        <w:t xml:space="preserve">Coinbase Global (COIN) — Q2 2026 Earnings Preview</w:t>
      </w:r>
    </w:p>
    <w:bookmarkStart w:id="9" w:name="Xdf7af4b2c004698a9f1c417d373c774fa296a31"/>
    <w:p>
      <w:pPr>
        <w:pStyle w:val="Heading3"/>
      </w:pPr>
      <w:r>
        <w:t xml:space="preserve">Reporting Thursday, July 30, 2026 (after the close) | 2026Q2 Earnings Call</w:t>
      </w:r>
    </w:p>
    <w:bookmarkEnd w:id="9"/>
    <w:bookmarkStart w:id="10" w:name="the-one-line-take"/>
    <w:p>
      <w:pPr>
        <w:pStyle w:val="Heading2"/>
      </w:pPr>
      <w:r>
        <w:t xml:space="preserve">The one-line take</w:t>
      </w:r>
    </w:p>
    <w:p>
      <w:pPr>
        <w:pStyle w:val="FirstParagraph"/>
      </w:pPr>
      <w:r>
        <w:t xml:space="preserve">This is shaping up to be a "look-through-the-quarter" print. The Street already expects Q2 to be another weak trading quarter — spot volumes plunged in April and May and crypto prices were lower on average — so the headline numbers likely matter less than (1) management's tone on 2H 2026, (2) the ramp in newer products (prediction markets, derivatives, stablecoins), and (3) the regulatory catalyst (the CLARITY Act) that has become the dominant driver of the stock in July.</w:t>
      </w:r>
    </w:p>
    <w:p>
      <w:r>
        <w:pict>
          <v:rect style="width:0;height:1.5pt" o:hralign="center" o:hrstd="t" o:hr="t"/>
        </w:pict>
      </w:r>
    </w:p>
    <w:bookmarkEnd w:id="10"/>
    <w:bookmarkStart w:id="11" w:name="X2706addb2565b61aa689d2e009bf945fd73d77c"/>
    <w:p>
      <w:pPr>
        <w:pStyle w:val="Heading2"/>
      </w:pPr>
      <w:r>
        <w:t xml:space="preserve">1. Consensus expectations (and why they're unusually noisy)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Y/Y</w:t>
            </w:r>
          </w:p>
        </w:tc>
      </w:tr>
      <w:tr>
        <w:tc>
          <w:tcPr/>
          <w:p>
            <w:pPr>
              <w:pStyle w:val="Compact"/>
            </w:pPr>
            <w:r>
              <w:t xml:space="preserve">Total revenue</w:t>
            </w:r>
          </w:p>
        </w:tc>
        <w:tc>
          <w:tcPr/>
          <w:p>
            <w:pPr>
              <w:pStyle w:val="Compact"/>
            </w:pPr>
            <w:r>
              <w:t xml:space="preserve">~$1.29–1.31B</w:t>
            </w:r>
          </w:p>
        </w:tc>
        <w:tc>
          <w:tcPr/>
          <w:p>
            <w:pPr>
              <w:pStyle w:val="Compact"/>
            </w:pPr>
            <w:r>
              <w:t xml:space="preserve">~ -12.8%</w:t>
            </w:r>
          </w:p>
        </w:tc>
      </w:tr>
      <w:tr>
        <w:tc>
          <w:tcPr/>
          <w:p>
            <w:pPr>
              <w:pStyle w:val="Compact"/>
            </w:pPr>
            <w:r>
              <w:t xml:space="preserve">EPS</w:t>
            </w:r>
          </w:p>
        </w:tc>
        <w:tc>
          <w:tcPr/>
          <w:p>
            <w:pPr>
              <w:pStyle w:val="Compact"/>
            </w:pPr>
            <w:r>
              <w:t xml:space="preserve">Wide dispersion — Zacks ~</w:t>
            </w:r>
            <m:oMath>
              <m:r>
                <m:t>0.15</m:t>
              </m:r>
              <m:r>
                <m:rPr>
                  <m:sty m:val="p"/>
                </m:rPr>
                <m:t>;</m:t>
              </m:r>
              <m:r>
                <m:t>S</m:t>
              </m:r>
              <m:r>
                <m:t>e</m:t>
              </m:r>
              <m:r>
                <m:t>e</m:t>
              </m:r>
              <m:r>
                <m:t>k</m:t>
              </m:r>
              <m:r>
                <m:t>i</m:t>
              </m:r>
              <m:r>
                <m:t>n</m:t>
              </m:r>
              <m:r>
                <m:t>g</m:t>
              </m:r>
              <m:r>
                <m:t>A</m:t>
              </m:r>
              <m:r>
                <m:t>l</m:t>
              </m:r>
              <m:r>
                <m:t>p</m:t>
              </m:r>
              <m:r>
                <m:t>h</m:t>
              </m:r>
              <m:r>
                <m:t>a</m:t>
              </m:r>
              <m:r>
                <m:t>s</m:t>
              </m:r>
              <m:r>
                <m:t>c</m:t>
              </m:r>
              <m:r>
                <m:t>r</m:t>
              </m:r>
              <m:r>
                <m:t>e</m:t>
              </m:r>
              <m:r>
                <m:t>e</m:t>
              </m:r>
              <m:r>
                <m:t>n</m:t>
              </m:r>
              <m:r>
                <m:t>s</m:t>
              </m:r>
              <m:r>
                <m:t>h</m:t>
              </m:r>
              <m:r>
                <m:t>o</m:t>
              </m:r>
              <m:r>
                <m:t>w</m:t>
              </m:r>
              <m:r>
                <m:t>i</m:t>
              </m:r>
              <m:r>
                <m:t>n</m:t>
              </m:r>
              <m:r>
                <m:t>g</m:t>
              </m:r>
              <m:r>
                <m:t>a</m:t>
              </m:r>
              <m:r>
                <m:t>p</m:t>
              </m:r>
              <m:r>
                <m:t>o</m:t>
              </m:r>
              <m:r>
                <m:t>s</m:t>
              </m:r>
              <m:r>
                <m:t>s</m:t>
              </m:r>
              <m:r>
                <m:t>i</m:t>
              </m:r>
              <m:r>
                <m:t>b</m:t>
              </m:r>
              <m:r>
                <m:t>l</m:t>
              </m:r>
              <m:r>
                <m:t>e</m:t>
              </m:r>
              <m:r>
                <m:t>l</m:t>
              </m:r>
              <m:r>
                <m:t>o</m:t>
              </m:r>
              <m:r>
                <m:t>s</m:t>
              </m:r>
              <m:r>
                <m:t>s</m:t>
              </m:r>
              <m:r>
                <m:rPr>
                  <m:sty m:val="p"/>
                </m:rPr>
                <m:t>(</m:t>
              </m:r>
              <m:r>
                <m:t> </m:t>
              </m:r>
              <m:r>
                <m:rPr>
                  <m:sty m:val="p"/>
                </m:rPr>
                <m:t>−</m:t>
              </m:r>
            </m:oMath>
            <w:r>
              <w:t xml:space="preserve">0.23)</w:t>
            </w:r>
          </w:p>
        </w:tc>
        <w:tc>
          <w:tcPr/>
          <w:p>
            <w:pPr>
              <w:pStyle w:val="Compact"/>
            </w:pPr>
            <w:r>
              <w:t xml:space="preserve">n/m</w:t>
            </w:r>
          </w:p>
        </w:tc>
      </w:tr>
      <w:tr>
        <w:tc>
          <w:tcPr/>
          <w:p>
            <w:pPr>
              <w:pStyle w:val="Compact"/>
            </w:pPr>
            <w:r>
              <w:t xml:space="preserve">Net transaction revenue</w:t>
            </w:r>
          </w:p>
        </w:tc>
        <w:tc>
          <w:tcPr/>
          <w:p>
            <w:pPr>
              <w:pStyle w:val="Compact"/>
            </w:pPr>
            <w:r>
              <w:t xml:space="preserve">~$640M</w:t>
            </w:r>
          </w:p>
        </w:tc>
        <w:tc>
          <w:tcPr/>
          <w:p>
            <w:pPr>
              <w:pStyle w:val="Compact"/>
            </w:pPr>
            <w:r>
              <w:t xml:space="preserve">~ -16%</w:t>
            </w:r>
          </w:p>
        </w:tc>
      </w:tr>
      <w:tr>
        <w:tc>
          <w:tcPr/>
          <w:p>
            <w:pPr>
              <w:pStyle w:val="Compact"/>
            </w:pPr>
            <w:r>
              <w:t xml:space="preserve">Subscription &amp; services</w:t>
            </w:r>
          </w:p>
        </w:tc>
        <w:tc>
          <w:tcPr/>
          <w:p>
            <w:pPr>
              <w:pStyle w:val="Compact"/>
            </w:pPr>
            <w:r>
              <w:t xml:space="preserve">~$601M (guide: $565–645M)</w:t>
            </w:r>
          </w:p>
        </w:tc>
        <w:tc>
          <w:tcPr/>
          <w:p>
            <w:pPr>
              <w:pStyle w:val="Compact"/>
            </w:pPr>
            <w:r>
              <w:t xml:space="preserve">roughly flat</w:t>
            </w:r>
          </w:p>
        </w:tc>
      </w:tr>
      <w:tr>
        <w:tc>
          <w:tcPr/>
          <w:p>
            <w:pPr>
              <w:pStyle w:val="Compact"/>
            </w:pPr>
            <w:r>
              <w:t xml:space="preserve">Trading volume</w:t>
            </w:r>
          </w:p>
        </w:tc>
        <w:tc>
          <w:tcPr/>
          <w:p>
            <w:pPr>
              <w:pStyle w:val="Compact"/>
            </w:pPr>
            <w:r>
              <w:t xml:space="preserve">~</w:t>
            </w:r>
            <m:oMath>
              <m:r>
                <m:t>161</m:t>
              </m:r>
              <m:r>
                <m:t>B</m:t>
              </m:r>
              <m:r>
                <m:rPr>
                  <m:sty m:val="p"/>
                </m:rPr>
                <m:t>(</m:t>
              </m:r>
              <m:r>
                <m:t>S</m:t>
              </m:r>
              <m:r>
                <m:t>t</m:t>
              </m:r>
              <m:r>
                <m:t>r</m:t>
              </m:r>
              <m:r>
                <m:t>e</m:t>
              </m:r>
              <m:r>
                <m:t>e</m:t>
              </m:r>
              <m:r>
                <m:t>t</m:t>
              </m:r>
              <m:r>
                <m:t>w</m:t>
              </m:r>
              <m:r>
                <m:t>a</m:t>
              </m:r>
              <m:r>
                <m:t>s</m:t>
              </m:r>
              <m:r>
                <m:t> </m:t>
              </m:r>
            </m:oMath>
            <w:r>
              <w:t xml:space="preserve">178B; sell-side now cutting toward ~$150–160B)</w:t>
            </w:r>
          </w:p>
        </w:tc>
        <w:tc>
          <w:tcPr/>
          <w:p>
            <w:pPr>
              <w:pStyle w:val="Compact"/>
            </w:pPr>
            <w:r>
              <w:t xml:space="preserve">vs. $237B a year ago</w:t>
            </w:r>
          </w:p>
        </w:tc>
      </w:tr>
      <w:tr>
        <w:tc>
          <w:tcPr/>
          <w:p>
            <w:pPr>
              <w:pStyle w:val="Compact"/>
            </w:pPr>
            <w:r>
              <w:t xml:space="preserve">MTUs</w:t>
            </w:r>
          </w:p>
        </w:tc>
        <w:tc>
          <w:tcPr/>
          <w:p>
            <w:pPr>
              <w:pStyle w:val="Compact"/>
            </w:pPr>
            <w:r>
              <w:t xml:space="preserve">~8.15M</w:t>
            </w:r>
          </w:p>
        </w:tc>
        <w:tc>
          <w:tcPr/>
          <w:p>
            <w:pPr>
              <w:pStyle w:val="Compact"/>
            </w:pPr>
            <w:r>
              <w:t xml:space="preserve">vs. 8.7M a year ago</w:t>
            </w:r>
          </w:p>
        </w:tc>
      </w:tr>
    </w:tbl>
    <w:p>
      <w:pPr>
        <w:pStyle w:val="BodyText"/>
      </w:pPr>
      <w:r>
        <w:t xml:space="preserve">Two things to flag:</w:t>
      </w:r>
    </w:p>
    <w:p>
      <w:pPr>
        <w:pStyle w:val="Compact"/>
        <w:numPr>
          <w:ilvl w:val="0"/>
          <w:numId w:val="1001"/>
        </w:numPr>
      </w:pPr>
      <w:r>
        <w:rPr>
          <w:b/>
          <w:bCs/>
        </w:rPr>
        <w:t xml:space="preserve">Estimate dispersion is very high.</w:t>
      </w:r>
      <w:r>
        <w:t xml:space="preserve"> </w:t>
      </w:r>
      <w:r>
        <w:t xml:space="preserve">Some data providers show a small positive EPS (~$0.15) while others are modeling a GAAP loss. Coinbase's GAAP earnings swing sharply with crypto-holding mark-to-market and one-offs, so focus on</w:t>
      </w:r>
      <w:r>
        <w:t xml:space="preserve"> </w:t>
      </w:r>
      <w:r>
        <w:rPr>
          <w:b/>
          <w:bCs/>
        </w:rPr>
        <w:t xml:space="preserve">adjusted EBITDA</w:t>
      </w:r>
      <w:r>
        <w:t xml:space="preserve"> </w:t>
      </w:r>
      <w:r>
        <w:t xml:space="preserve">and the revenue lines rather than headline EPS.</w:t>
      </w:r>
    </w:p>
    <w:p>
      <w:pPr>
        <w:pStyle w:val="Compact"/>
        <w:numPr>
          <w:ilvl w:val="0"/>
          <w:numId w:val="1001"/>
        </w:numPr>
      </w:pPr>
      <w:r>
        <w:rPr>
          <w:b/>
          <w:bCs/>
        </w:rPr>
        <w:t xml:space="preserve">Sell-side has been cutting into the print.</w:t>
      </w:r>
      <w:r>
        <w:t xml:space="preserve"> </w:t>
      </w:r>
      <w:r>
        <w:t xml:space="preserve">Barclays (Budish) estimated only ~</w:t>
      </w:r>
      <m:oMath>
        <m:r>
          <m:t>152</m:t>
        </m:r>
        <m:r>
          <m:t>B</m:t>
        </m:r>
        <m:r>
          <m:t>o</m:t>
        </m:r>
        <m:r>
          <m:t>f</m:t>
        </m:r>
        <m:r>
          <m:t>v</m:t>
        </m:r>
        <m:r>
          <m:t>o</m:t>
        </m:r>
        <m:r>
          <m:t>l</m:t>
        </m:r>
        <m:r>
          <m:t>u</m:t>
        </m:r>
        <m:r>
          <m:t>m</m:t>
        </m:r>
        <m:r>
          <m:t>e</m:t>
        </m:r>
        <m:r>
          <m:t>v</m:t>
        </m:r>
        <m:r>
          <m:t>s</m:t>
        </m:r>
        <m:r>
          <m:rPr>
            <m:sty m:val="p"/>
          </m:rPr>
          <m:t>.</m:t>
        </m:r>
        <m:r>
          <m:t>t</m:t>
        </m:r>
        <m:r>
          <m:t>h</m:t>
        </m:r>
        <m:r>
          <m:t>e</m:t>
        </m:r>
        <m:r>
          <m:t>S</m:t>
        </m:r>
        <m:r>
          <m:t>t</m:t>
        </m:r>
        <m:r>
          <m:t>r</m:t>
        </m:r>
        <m:r>
          <m:t>e</m:t>
        </m:r>
        <m:r>
          <m:t>e</m:t>
        </m:r>
        <m:sSup>
          <m:e>
            <m:r>
              <m:t>t</m:t>
            </m:r>
          </m:e>
          <m:sup>
            <m:r>
              <m:rPr>
                <m:sty m:val="p"/>
              </m:rPr>
              <m:t>′</m:t>
            </m:r>
          </m:sup>
        </m:sSup>
        <m:r>
          <m:t>s</m:t>
        </m:r>
        <m:r>
          <m:t> </m:t>
        </m:r>
      </m:oMath>
      <w:r>
        <w:t xml:space="preserve">178B and sees adjusted EBITDA ~3% below consensus; Clear Street (Lau) modeled ~</w:t>
      </w:r>
      <m:oMath>
        <m:r>
          <m:t>160</m:t>
        </m:r>
        <m:r>
          <m:t>B</m:t>
        </m:r>
        <m:r>
          <m:t>v</m:t>
        </m:r>
        <m:r>
          <m:t>o</m:t>
        </m:r>
        <m:r>
          <m:t>l</m:t>
        </m:r>
        <m:r>
          <m:t>u</m:t>
        </m:r>
        <m:r>
          <m:t>m</m:t>
        </m:r>
        <m:r>
          <m:t>e</m:t>
        </m:r>
        <m:r>
          <m:t>a</m:t>
        </m:r>
        <m:r>
          <m:t>n</m:t>
        </m:r>
        <m:r>
          <m:t>d</m:t>
        </m:r>
        <m:r>
          <m:t> </m:t>
        </m:r>
      </m:oMath>
      <w:r>
        <w:t xml:space="preserve">301M adjusted EBITDA; Benchmark (Palmer) trimmed EBITDA to ~$377M; Compass Point sees revenue slightly below but EBITDA roughly in line. Estimate revisions have skewed negative (13 downward EPS revisions per Seeking Alpha).</w:t>
      </w:r>
    </w:p>
    <w:p>
      <w:pPr>
        <w:pStyle w:val="FirstParagraph"/>
      </w:pPr>
      <w:r>
        <w:t xml:space="preserve">For reference,</w:t>
      </w:r>
      <w:r>
        <w:t xml:space="preserve"> </w:t>
      </w:r>
      <w:r>
        <w:rPr>
          <w:b/>
          <w:bCs/>
        </w:rPr>
        <w:t xml:space="preserve">Q1 2026</w:t>
      </w:r>
      <w:r>
        <w:t xml:space="preserve"> </w:t>
      </w:r>
      <w:r>
        <w:t xml:space="preserve">posted $1.4B revenue, a $394M net loss, and $303M positive adjusted EBITDA (its 13th consecutive positive-EBITDA quarter), with transaction revenue of $756M (consumer $567M / institutional $136M), S&amp;S of $584M, and stablecoin revenue of $305M on record average USDC of $19B.</w:t>
      </w:r>
    </w:p>
    <w:p>
      <w:r>
        <w:pict>
          <v:rect style="width:0;height:1.5pt" o:hralign="center" o:hrstd="t" o:hr="t"/>
        </w:pict>
      </w:r>
    </w:p>
    <w:bookmarkEnd w:id="11"/>
    <w:bookmarkStart w:id="12" w:name="X0b9ca7ca619b95eea53ef86aa549e1ed207b603"/>
    <w:p>
      <w:pPr>
        <w:pStyle w:val="Heading2"/>
      </w:pPr>
      <w:r>
        <w:t xml:space="preserve">2. What actually drove the quarter: a weak crypto tape</w:t>
      </w:r>
    </w:p>
    <w:p>
      <w:pPr>
        <w:pStyle w:val="FirstParagraph"/>
      </w:pPr>
      <w:r>
        <w:t xml:space="preserve">The macro backdrop was the story. Spot trading volumes fell across the industry, and bitcoin (trading around the mid-$60Ks into the print) and ether were lower on average than in Q1. Prediction/betting markets (Kalshi) had been pricing in a</w:t>
      </w:r>
      <w:r>
        <w:t xml:space="preserve"> </w:t>
      </w:r>
      <w:r>
        <w:rPr>
          <w:b/>
          <w:bCs/>
        </w:rPr>
        <w:t xml:space="preserve">third consecutive quarterly decline in Coinbase trading volume</w:t>
      </w:r>
      <w:r>
        <w:t xml:space="preserve"> </w:t>
      </w:r>
      <w:r>
        <w:t xml:space="preserve">ahead of the report. Expect the same script as Q1: transaction revenue down, partially cushioned by the more stable subscription &amp; services stack (stablecoin interest, staking/blockchain rewards, Coinbase One, interest income).</w:t>
      </w:r>
    </w:p>
    <w:p>
      <w:pPr>
        <w:pStyle w:val="BodyText"/>
      </w:pPr>
      <w:r>
        <w:t xml:space="preserve">Watch the</w:t>
      </w:r>
      <w:r>
        <w:t xml:space="preserve"> </w:t>
      </w:r>
      <w:r>
        <w:rPr>
          <w:b/>
          <w:bCs/>
        </w:rPr>
        <w:t xml:space="preserve">transaction-revenue vs. volume mix</w:t>
      </w:r>
      <w:r>
        <w:t xml:space="preserve"> </w:t>
      </w:r>
      <w:r>
        <w:t xml:space="preserve">again — in Q1, consumer revenue fell less than spot volumes because of a mix shift toward higher-take-rate core trading and because newer products (derivatives, prediction markets) contribute revenue but aren't counted in the reported spot "trading volume" metric.</w:t>
      </w:r>
    </w:p>
    <w:p>
      <w:r>
        <w:pict>
          <v:rect style="width:0;height:1.5pt" o:hralign="center" o:hrstd="t" o:hr="t"/>
        </w:pict>
      </w:r>
    </w:p>
    <w:bookmarkEnd w:id="12"/>
    <w:bookmarkStart w:id="13" w:name="X99fb3831020007137b5569a365d5ea8fab8410f"/>
    <w:p>
      <w:pPr>
        <w:pStyle w:val="Heading2"/>
      </w:pPr>
      <w:r>
        <w:t xml:space="preserve">3. The growth story management will want you to focus on</w:t>
      </w:r>
    </w:p>
    <w:p>
      <w:pPr>
        <w:pStyle w:val="FirstParagraph"/>
      </w:pPr>
      <w:r>
        <w:t xml:space="preserve">Coinbase's pitch is that it's transitioning from a "leveraged bitcoin proxy" to a diversified "everything exchange." Key items to monitor:</w:t>
      </w:r>
    </w:p>
    <w:p>
      <w:pPr>
        <w:pStyle w:val="Compact"/>
        <w:numPr>
          <w:ilvl w:val="0"/>
          <w:numId w:val="1002"/>
        </w:numPr>
      </w:pPr>
      <w:r>
        <w:rPr>
          <w:b/>
          <w:bCs/>
        </w:rPr>
        <w:t xml:space="preserve">Prediction markets</w:t>
      </w:r>
      <w:r>
        <w:t xml:space="preserve"> </w:t>
      </w:r>
      <w:r>
        <w:t xml:space="preserve">— one of the fastest-scaling new products, hit ~$100M annualized run-rate just two months after launch and got a boost from sports activity. Watch for updated run-rate. Note the bear pushback (Compass Point): Coinbase books</w:t>
      </w:r>
      <w:r>
        <w:t xml:space="preserve"> </w:t>
      </w:r>
      <w:r>
        <w:rPr>
          <w:i/>
          <w:iCs/>
        </w:rPr>
        <w:t xml:space="preserve">gross</w:t>
      </w:r>
      <w:r>
        <w:t xml:space="preserve"> </w:t>
      </w:r>
      <w:r>
        <w:t xml:space="preserve">revenue but shares economics with Kalshi, so net contribution is smaller than the headline.</w:t>
      </w:r>
    </w:p>
    <w:p>
      <w:pPr>
        <w:pStyle w:val="Compact"/>
        <w:numPr>
          <w:ilvl w:val="0"/>
          <w:numId w:val="1002"/>
        </w:numPr>
      </w:pPr>
      <w:r>
        <w:rPr>
          <w:b/>
          <w:bCs/>
        </w:rPr>
        <w:t xml:space="preserve">Derivatives / Deribit</w:t>
      </w:r>
      <w:r>
        <w:t xml:space="preserve"> </w:t>
      </w:r>
      <w:r>
        <w:t xml:space="preserve">— retail derivatives were &gt;$200M annualized in Q1 and on track for the $250M tier; the Deribit options integration is targeted to be fully integrated in 2026, plus a possible US options timeline update. Most analysts still see derivatives as a longer-term offset, not a Q2 rescue.</w:t>
      </w:r>
    </w:p>
    <w:p>
      <w:pPr>
        <w:pStyle w:val="Compact"/>
        <w:numPr>
          <w:ilvl w:val="0"/>
          <w:numId w:val="1002"/>
        </w:numPr>
      </w:pPr>
      <w:r>
        <w:rPr>
          <w:b/>
          <w:bCs/>
        </w:rPr>
        <w:t xml:space="preserve">Stablecoins / USDC</w:t>
      </w:r>
      <w:r>
        <w:t xml:space="preserve"> </w:t>
      </w:r>
      <w:r>
        <w:t xml:space="preserve">— the most-watched S&amp;S driver. Average USDC on platform hit a record $19B in Q1; Coinbase captures ~50% of USDC economics via its Circle arrangement (contract auto-renews every 3 years and can't be terminated). Any commentary on USDC balances, rates, and reward-program economics is key.</w:t>
      </w:r>
    </w:p>
    <w:p>
      <w:pPr>
        <w:pStyle w:val="Compact"/>
        <w:numPr>
          <w:ilvl w:val="0"/>
          <w:numId w:val="1002"/>
        </w:numPr>
      </w:pPr>
      <w:r>
        <w:rPr>
          <w:b/>
          <w:bCs/>
        </w:rPr>
        <w:t xml:space="preserve">Base + x402 / agentic payments</w:t>
      </w:r>
      <w:r>
        <w:t xml:space="preserve"> </w:t>
      </w:r>
      <w:r>
        <w:t xml:space="preserve">— the "agentic commerce" narrative (&gt;90% of agentic stablecoin volume on Base, USDC used 99% of the time). More of an optionality/narrative driver than a near-term numbers mover.</w:t>
      </w:r>
    </w:p>
    <w:p>
      <w:pPr>
        <w:pStyle w:val="Compact"/>
        <w:numPr>
          <w:ilvl w:val="0"/>
          <w:numId w:val="1002"/>
        </w:numPr>
      </w:pPr>
      <w:r>
        <w:rPr>
          <w:b/>
          <w:bCs/>
        </w:rPr>
        <w:t xml:space="preserve">AI-native transformation</w:t>
      </w:r>
      <w:r>
        <w:t xml:space="preserve"> </w:t>
      </w:r>
      <w:r>
        <w:t xml:space="preserve">— Coinbase announced a headcount reduction and is guiding $50–60M of Q2 restructuring charges as a standalone line item. Pull requests per engineer were up ~78% y/y.</w:t>
      </w:r>
    </w:p>
    <w:p>
      <w:r>
        <w:pict>
          <v:rect style="width:0;height:1.5pt" o:hralign="center" o:hrstd="t" o:hr="t"/>
        </w:pict>
      </w:r>
    </w:p>
    <w:bookmarkEnd w:id="13"/>
    <w:bookmarkStart w:id="14" w:name="X9d078fb4373124d7f66608e9a6be1f536817f00"/>
    <w:p>
      <w:pPr>
        <w:pStyle w:val="Heading2"/>
      </w:pPr>
      <w:r>
        <w:t xml:space="preserve">4. Costs &amp; capital return</w:t>
      </w:r>
    </w:p>
    <w:p>
      <w:pPr>
        <w:pStyle w:val="Compact"/>
        <w:numPr>
          <w:ilvl w:val="0"/>
          <w:numId w:val="1003"/>
        </w:numPr>
      </w:pPr>
      <w:r>
        <w:rPr>
          <w:b/>
          <w:bCs/>
        </w:rPr>
        <w:t xml:space="preserve">Expense guide (Q2):</w:t>
      </w:r>
      <w:r>
        <w:t xml:space="preserve"> </w:t>
      </w:r>
      <w:r>
        <w:t xml:space="preserve">technology &amp; development + G&amp;A of</w:t>
      </w:r>
      <w:r>
        <w:t xml:space="preserve"> </w:t>
      </w:r>
      <w:r>
        <w:rPr>
          <w:b/>
          <w:bCs/>
        </w:rPr>
        <w:t xml:space="preserve">$820–870M</w:t>
      </w:r>
      <w:r>
        <w:t xml:space="preserve"> </w:t>
      </w:r>
      <w:r>
        <w:t xml:space="preserve">(down 4–9% q/q).</w:t>
      </w:r>
    </w:p>
    <w:p>
      <w:pPr>
        <w:pStyle w:val="Compact"/>
        <w:numPr>
          <w:ilvl w:val="0"/>
          <w:numId w:val="1003"/>
        </w:numPr>
      </w:pPr>
      <w:r>
        <w:rPr>
          <w:b/>
          <w:bCs/>
        </w:rPr>
        <w:t xml:space="preserve">Restructuring:</w:t>
      </w:r>
      <w:r>
        <w:t xml:space="preserve"> </w:t>
      </w:r>
      <w:r>
        <w:t xml:space="preserve">additional</w:t>
      </w:r>
      <w:r>
        <w:t xml:space="preserve"> </w:t>
      </w:r>
      <w:r>
        <w:rPr>
          <w:b/>
          <w:bCs/>
        </w:rPr>
        <w:t xml:space="preserve">$50–60M</w:t>
      </w:r>
      <w:r>
        <w:t xml:space="preserve"> </w:t>
      </w:r>
      <w:r>
        <w:t xml:space="preserve">one-time charge in Q2.</w:t>
      </w:r>
    </w:p>
    <w:p>
      <w:pPr>
        <w:pStyle w:val="Compact"/>
        <w:numPr>
          <w:ilvl w:val="0"/>
          <w:numId w:val="1003"/>
        </w:numPr>
      </w:pPr>
      <w:r>
        <w:rPr>
          <w:b/>
          <w:bCs/>
        </w:rPr>
        <w:t xml:space="preserve">Full-year 2026 adjusted expenses:</w:t>
      </w:r>
      <w:r>
        <w:t xml:space="preserve"> </w:t>
      </w:r>
      <w:r>
        <w:t xml:space="preserve">guided to</w:t>
      </w:r>
      <w:r>
        <w:t xml:space="preserve"> </w:t>
      </w:r>
      <w:r>
        <w:rPr>
          <w:b/>
          <w:bCs/>
        </w:rPr>
        <w:t xml:space="preserve">$4.3–4.6B</w:t>
      </w:r>
      <w:r>
        <w:t xml:space="preserve"> </w:t>
      </w:r>
      <w:r>
        <w:t xml:space="preserve">— about $500M below the Q4 2025 exit run-rate at the midpoint; roughly flat y/y ex-USDC rewards growth. Any change to this full-year framework would be a meaningful signal.</w:t>
      </w:r>
    </w:p>
    <w:p>
      <w:pPr>
        <w:pStyle w:val="Compact"/>
        <w:numPr>
          <w:ilvl w:val="0"/>
          <w:numId w:val="1003"/>
        </w:numPr>
      </w:pPr>
      <w:r>
        <w:rPr>
          <w:b/>
          <w:bCs/>
        </w:rPr>
        <w:t xml:space="preserve">Balance sheet / buyback:</w:t>
      </w:r>
      <w:r>
        <w:t xml:space="preserve"> </w:t>
      </w:r>
      <w:r>
        <w:t xml:space="preserve">ended Q1 with &gt;</w:t>
      </w:r>
      <m:oMath>
        <m:r>
          <m:t>10</m:t>
        </m:r>
        <m:r>
          <m:t>B</m:t>
        </m:r>
        <m:r>
          <m:t>c</m:t>
        </m:r>
        <m:r>
          <m:t>a</m:t>
        </m:r>
        <m:r>
          <m:t>s</m:t>
        </m:r>
        <m:r>
          <m:t>h</m:t>
        </m:r>
        <m:r>
          <m:t>a</m:t>
        </m:r>
        <m:r>
          <m:t>n</m:t>
        </m:r>
        <m:r>
          <m:t>d</m:t>
        </m:r>
        <m:r>
          <m:t> </m:t>
        </m:r>
      </m:oMath>
      <w:r>
        <w:t xml:space="preserve">12B total available resources; repurchased ~6M shares for $1.1B in Q1 (buybacks have offset ~90% of stock-comp dilution since Q4 2024). The $1.3B 2026 convert was due June 1 and management intended to retire it — watch the updated cash position.</w:t>
      </w:r>
    </w:p>
    <w:p>
      <w:r>
        <w:pict>
          <v:rect style="width:0;height:1.5pt" o:hralign="center" o:hrstd="t" o:hr="t"/>
        </w:pict>
      </w:r>
    </w:p>
    <w:bookmarkEnd w:id="14"/>
    <w:bookmarkStart w:id="15" w:name="Xca4c471c7d4db43dd208964c5bcdc54b96d6afa"/>
    <w:p>
      <w:pPr>
        <w:pStyle w:val="Heading2"/>
      </w:pPr>
      <w:r>
        <w:t xml:space="preserve">5. The real swing factor: the CLARITY Act</w:t>
      </w:r>
    </w:p>
    <w:p>
      <w:pPr>
        <w:pStyle w:val="FirstParagraph"/>
      </w:pPr>
      <w:r>
        <w:t xml:space="preserve">Regulation, not Q2 numbers, has driven the stock in July. Congress is nearing a vote on the</w:t>
      </w:r>
      <w:r>
        <w:t xml:space="preserve"> </w:t>
      </w:r>
      <w:r>
        <w:rPr>
          <w:b/>
          <w:bCs/>
        </w:rPr>
        <w:t xml:space="preserve">CLARITY Act</w:t>
      </w:r>
      <w:r>
        <w:t xml:space="preserve">, market-structure legislation that would move most crypto trading outside the SEC's purview. COIN spiked ~11% on July 21 on reports of a White House/Senate compromise on a crypto-ethics provision, and shares are up on the month on passage odds.</w:t>
      </w:r>
    </w:p>
    <w:p>
      <w:pPr>
        <w:pStyle w:val="Compact"/>
        <w:numPr>
          <w:ilvl w:val="0"/>
          <w:numId w:val="1004"/>
        </w:numPr>
      </w:pPr>
      <w:r>
        <w:rPr>
          <w:b/>
          <w:bCs/>
        </w:rPr>
        <w:t xml:space="preserve">Time pressure is real:</w:t>
      </w:r>
      <w:r>
        <w:t xml:space="preserve"> </w:t>
      </w:r>
      <w:r>
        <w:t xml:space="preserve">the Senate begins recess August 7; failure to pass by then could sideline market-structure legislation for years.</w:t>
      </w:r>
    </w:p>
    <w:p>
      <w:pPr>
        <w:pStyle w:val="Compact"/>
        <w:numPr>
          <w:ilvl w:val="0"/>
          <w:numId w:val="1004"/>
        </w:numPr>
      </w:pPr>
      <w:r>
        <w:rPr>
          <w:b/>
          <w:bCs/>
        </w:rPr>
        <w:t xml:space="preserve">Open issues:</w:t>
      </w:r>
      <w:r>
        <w:t xml:space="preserve"> </w:t>
      </w:r>
      <w:r>
        <w:t xml:space="preserve">state-AG vs. DOJ enforcement authority and unresolved ethics language are cited as hurdles to bipartisan support; the stablecoin-rewards question saw a Tillis/Alsobrooks compromise that management framed favorably (preserving activity-based rewards while barring passive bank-style yield).</w:t>
      </w:r>
    </w:p>
    <w:p>
      <w:pPr>
        <w:pStyle w:val="Compact"/>
        <w:numPr>
          <w:ilvl w:val="0"/>
          <w:numId w:val="1004"/>
        </w:numPr>
      </w:pPr>
      <w:r>
        <w:rPr>
          <w:b/>
          <w:bCs/>
        </w:rPr>
        <w:t xml:space="preserve">Management framing:</w:t>
      </w:r>
      <w:r>
        <w:t xml:space="preserve"> </w:t>
      </w:r>
      <w:r>
        <w:t xml:space="preserve">Coinbase argues CLARITY is a multi-year unlock for tokenization, DeFi, and institutional capital — analogous to the wave of stablecoin integrations that followed the GENIUS Act. Expect this to dominate the Q&amp;A, and expect the stock to react more to CLARITY commentary than to the P&amp;L.</w:t>
      </w:r>
    </w:p>
    <w:p>
      <w:r>
        <w:pict>
          <v:rect style="width:0;height:1.5pt" o:hralign="center" o:hrstd="t" o:hr="t"/>
        </w:pict>
      </w:r>
    </w:p>
    <w:bookmarkEnd w:id="15"/>
    <w:bookmarkStart w:id="16" w:name="X5c8ecda3485149af9204ceaf1ecd63cdcef0213"/>
    <w:p>
      <w:pPr>
        <w:pStyle w:val="Heading2"/>
      </w:pPr>
      <w:r>
        <w:t xml:space="preserve">6. Governance / management turnover — a watch item</w:t>
      </w:r>
    </w:p>
    <w:p>
      <w:pPr>
        <w:pStyle w:val="FirstParagraph"/>
      </w:pPr>
      <w:r>
        <w:t xml:space="preserve">There's been a notable C-suite reshuffle:</w:t>
      </w:r>
      <w:r>
        <w:t xml:space="preserve"> </w:t>
      </w:r>
      <w:r>
        <w:rPr>
          <w:b/>
          <w:bCs/>
        </w:rPr>
        <w:t xml:space="preserve">Chief Legal Officer Paul Grewal</w:t>
      </w:r>
      <w:r>
        <w:t xml:space="preserve"> </w:t>
      </w:r>
      <w:r>
        <w:t xml:space="preserve">is stepping down effective July 31 (VP Legal Molly Abraham to become General Counsel), and the</w:t>
      </w:r>
      <w:r>
        <w:t xml:space="preserve"> </w:t>
      </w:r>
      <w:r>
        <w:rPr>
          <w:b/>
          <w:bCs/>
        </w:rPr>
        <w:t xml:space="preserve">Chief People Officer (Lawrence Brock)</w:t>
      </w:r>
      <w:r>
        <w:t xml:space="preserve"> </w:t>
      </w:r>
      <w:r>
        <w:t xml:space="preserve">is departing with a successor named. On a company where the legal/policy function has been central to strategy, the loss of Grewal right as CLARITY comes to a head is worth listening for on the call.</w:t>
      </w:r>
    </w:p>
    <w:p>
      <w:r>
        <w:pict>
          <v:rect style="width:0;height:1.5pt" o:hralign="center" o:hrstd="t" o:hr="t"/>
        </w:pict>
      </w:r>
    </w:p>
    <w:bookmarkEnd w:id="16"/>
    <w:bookmarkStart w:id="17" w:name="Xb503e40dfcdb273ccd0c728dde960f7e5bd2ef4"/>
    <w:p>
      <w:pPr>
        <w:pStyle w:val="Heading2"/>
      </w:pPr>
      <w:r>
        <w:t xml:space="preserve">7. Setup / positioning into the print</w:t>
      </w:r>
    </w:p>
    <w:p>
      <w:pPr>
        <w:pStyle w:val="Compact"/>
        <w:numPr>
          <w:ilvl w:val="0"/>
          <w:numId w:val="1005"/>
        </w:numPr>
      </w:pPr>
      <w:r>
        <w:rPr>
          <w:b/>
          <w:bCs/>
        </w:rPr>
        <w:t xml:space="preserve">Stock:</w:t>
      </w:r>
      <w:r>
        <w:t xml:space="preserve"> </w:t>
      </w:r>
      <w:r>
        <w:t xml:space="preserve">~</w:t>
      </w:r>
      <m:oMath>
        <m:r>
          <m:t>164.55</m:t>
        </m:r>
        <m:r>
          <m:rPr>
            <m:sty m:val="p"/>
          </m:rPr>
          <m:t>(</m:t>
        </m:r>
        <m:r>
          <m:t>J</m:t>
        </m:r>
        <m:r>
          <m:t>u</m:t>
        </m:r>
        <m:r>
          <m:t>l</m:t>
        </m:r>
        <m:r>
          <m:t>y</m:t>
        </m:r>
        <m:r>
          <m:t>29</m:t>
        </m:r>
        <m:r>
          <m:rPr>
            <m:sty m:val="p"/>
          </m:rPr>
          <m:t>)</m:t>
        </m:r>
        <m:r>
          <m:rPr>
            <m:sty m:val="p"/>
          </m:rPr>
          <m:t>,</m:t>
        </m:r>
        <m:r>
          <m:rPr>
            <m:sty m:val="p"/>
          </m:rPr>
          <m:t>*</m:t>
        </m:r>
        <m:r>
          <m:rPr>
            <m:sty m:val="p"/>
          </m:rPr>
          <m:t>*</m:t>
        </m:r>
        <m:r>
          <m:t>d</m:t>
        </m:r>
        <m:r>
          <m:t>o</m:t>
        </m:r>
        <m:r>
          <m:t>w</m:t>
        </m:r>
        <m:r>
          <m:t>n</m:t>
        </m:r>
        <m:r>
          <m:t> </m:t>
        </m:r>
        <m:r>
          <m:t>30</m:t>
        </m:r>
      </m:oMath>
      <w:r>
        <w:t xml:space="preserve">236 at the start of January). Shares bottomed near ~</w:t>
      </w:r>
      <m:oMath>
        <m:r>
          <m:t>142</m:t>
        </m:r>
        <m:r>
          <m:t>i</m:t>
        </m:r>
        <m:r>
          <m:t>n</m:t>
        </m:r>
        <m:r>
          <m:t>l</m:t>
        </m:r>
        <m:r>
          <m:t>a</m:t>
        </m:r>
        <m:r>
          <m:t>t</m:t>
        </m:r>
        <m:r>
          <m:t>e</m:t>
        </m:r>
        <m:r>
          <m:t>J</m:t>
        </m:r>
        <m:r>
          <m:t>u</m:t>
        </m:r>
        <m:r>
          <m:t>n</m:t>
        </m:r>
        <m:r>
          <m:t>e</m:t>
        </m:r>
        <m:r>
          <m:t>a</m:t>
        </m:r>
        <m:r>
          <m:t>n</m:t>
        </m:r>
        <m:r>
          <m:t>d</m:t>
        </m:r>
        <m:r>
          <m:t>h</m:t>
        </m:r>
        <m:r>
          <m:t>a</m:t>
        </m:r>
        <m:r>
          <m:t>v</m:t>
        </m:r>
        <m:r>
          <m:t>e</m:t>
        </m:r>
        <m:r>
          <m:t>r</m:t>
        </m:r>
        <m:r>
          <m:t>e</m:t>
        </m:r>
        <m:r>
          <m:t>b</m:t>
        </m:r>
        <m:r>
          <m:t>o</m:t>
        </m:r>
        <m:r>
          <m:t>u</m:t>
        </m:r>
        <m:r>
          <m:t>n</m:t>
        </m:r>
        <m:r>
          <m:t>d</m:t>
        </m:r>
        <m:r>
          <m:t>e</m:t>
        </m:r>
        <m:r>
          <m:t>d</m:t>
        </m:r>
        <m:r>
          <m:t> </m:t>
        </m:r>
        <m:r>
          <m:t>15</m:t>
        </m:r>
      </m:oMath>
      <w:r>
        <w:t xml:space="preserve">176.</w:t>
      </w:r>
    </w:p>
    <w:p>
      <w:pPr>
        <w:pStyle w:val="Compact"/>
        <w:numPr>
          <w:ilvl w:val="0"/>
          <w:numId w:val="1005"/>
        </w:numPr>
      </w:pPr>
      <w:r>
        <w:rPr>
          <w:b/>
          <w:bCs/>
        </w:rPr>
        <w:t xml:space="preserve">Sentiment:</w:t>
      </w:r>
      <w:r>
        <w:t xml:space="preserve"> </w:t>
      </w:r>
      <w:r>
        <w:t xml:space="preserve">average analyst price target ~$216–237 (well above spot), but near-term expectations have been cut hard. Zacks Rank #3 (Hold) with a negative Earnings ESP (-5.23%) — the model does</w:t>
      </w:r>
      <w:r>
        <w:t xml:space="preserve"> </w:t>
      </w:r>
      <w:r>
        <w:rPr>
          <w:b/>
          <w:bCs/>
        </w:rPr>
        <w:t xml:space="preserve">not</w:t>
      </w:r>
      <w:r>
        <w:t xml:space="preserve"> </w:t>
      </w:r>
      <w:r>
        <w:t xml:space="preserve">flag a likely beat.</w:t>
      </w:r>
    </w:p>
    <w:p>
      <w:pPr>
        <w:pStyle w:val="Compact"/>
        <w:numPr>
          <w:ilvl w:val="0"/>
          <w:numId w:val="1005"/>
        </w:numPr>
      </w:pPr>
      <w:r>
        <w:rPr>
          <w:b/>
          <w:bCs/>
        </w:rPr>
        <w:t xml:space="preserve">Skew:</w:t>
      </w:r>
      <w:r>
        <w:t xml:space="preserve"> </w:t>
      </w:r>
      <w:r>
        <w:t xml:space="preserve">Given lowered numbers, the bar on Q2 itself is low; the bigger risk/reward lies in (a) any cut to the full-year expense or S&amp;S framework, (b) trajectory commentary on newer products, and (c) CLARITY headlines that may land independently of the print.</w:t>
      </w:r>
    </w:p>
    <w:p>
      <w:r>
        <w:pict>
          <v:rect style="width:0;height:1.5pt" o:hralign="center" o:hrstd="t" o:hr="t"/>
        </w:pict>
      </w:r>
    </w:p>
    <w:bookmarkEnd w:id="17"/>
    <w:bookmarkStart w:id="18" w:name="bottom-line-for-investors"/>
    <w:p>
      <w:pPr>
        <w:pStyle w:val="Heading2"/>
      </w:pPr>
      <w:r>
        <w:t xml:space="preserve">Bottom line for investors</w:t>
      </w:r>
    </w:p>
    <w:p>
      <w:pPr>
        <w:pStyle w:val="FirstParagraph"/>
      </w:pPr>
      <w:r>
        <w:t xml:space="preserve">Expect a soft, "as-feared" Q2 driven by weak spot volumes, with subscription &amp; services and cost discipline doing the heavy lifting. The move will hinge less on the quarter and more on: management's 2H outlook and expense guide, the momentum in prediction markets / derivatives / stablecoins, and — above all — the CLARITY Act, which has become the single biggest binary catalyst for COIN over the next two weeks. Focus on adjusted EBITDA, USDC balances/S&amp;S trajectory, and any change to the $4.3–4.6B full-year expense frame rather than the noisy headline EPS.</w:t>
      </w:r>
    </w:p>
    <w:p>
      <w:pPr>
        <w:pStyle w:val="BodyText"/>
      </w:pPr>
      <w:r>
        <w:rPr>
          <w:i/>
          <w:iCs/>
        </w:rPr>
        <w:t xml:space="preserve">Note: reported timing has been cited inconsistently across outlets (before open vs. after close); Coinbase has historically issued its shareholder letter after market close. Confirm the exact release time.</w:t>
      </w:r>
    </w:p>
    <w:p>
      <w:r>
        <w:pict>
          <v:rect style="width:0;height:1.5pt" o:hralign="center" o:hrstd="t" o:hr="t"/>
        </w:pict>
      </w:r>
    </w:p>
    <w:p>
      <w:pPr>
        <w:pStyle w:val="FirstParagraph"/>
      </w:pPr>
      <w:r>
        <w:rPr>
          <w:i/>
          <w:iCs/>
        </w:rPr>
        <w:t xml:space="preserve">This preview is for informational purposes only and is not investment advice.</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2026-07-29T19:20:37Z</dcterms:created>
  <dcterms:modified xsi:type="dcterms:W3CDTF">2026-07-29T19:20:37Z</dcterms:modified>
</cp:coreProperties>
</file>

<file path=docProps/custom.xml><?xml version="1.0" encoding="utf-8"?>
<Properties xmlns="http://schemas.openxmlformats.org/officeDocument/2006/custom-properties" xmlns:vt="http://schemas.openxmlformats.org/officeDocument/2006/docPropsVTypes"/>
</file>