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write the earnings preview.# Coinbase Global (COIN) — Q2 2026 Earnings Preview</w:t>
      </w:r>
      <w:r>
        <w:t xml:space="preserve"> </w:t>
      </w: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the-setup"/>
    <w:p>
      <w:pPr>
        <w:pStyle w:val="Heading2"/>
      </w:pPr>
      <w:r>
        <w:t xml:space="preserve">The Setup</w:t>
      </w:r>
    </w:p>
    <w:p>
      <w:pPr>
        <w:pStyle w:val="FirstParagraph"/>
      </w:pPr>
      <w:r>
        <w:t xml:space="preserve">Coinbase heads into tomorrow's print as a stock that has been whipsawed by two competing forces: a brutal crypto trading tape and a rapidly improving Washington regulatory backdrop. Shares have ranged from roughly $142 to over $216 since April, and closed at $163.87 the day before earnings — down meaningfully from Q1 levels even after a sharp rally this month on Clarity Act optimism. Options/prediction markets and sell-side commentary suggest the setup is unusually binary: soft fundamentals are already well understood, but the regulatory catalyst is not yet fully resolved.</w:t>
      </w:r>
    </w:p>
    <w:bookmarkEnd w:id="9"/>
    <w:bookmarkStart w:id="10" w:name="what-wall-street-expects"/>
    <w:p>
      <w:pPr>
        <w:pStyle w:val="Heading2"/>
      </w:pPr>
      <w:r>
        <w:t xml:space="preserve">What Wall Street Expects</w:t>
      </w:r>
    </w:p>
    <w:p>
      <w:pPr>
        <w:pStyle w:val="FirstParagraph"/>
      </w:pPr>
      <w:r>
        <w:t xml:space="preserve">Consensus has been cut repeatedly into the print:</w:t>
      </w:r>
    </w:p>
    <w:p>
      <w:pPr>
        <w:pStyle w:val="Compact"/>
        <w:numPr>
          <w:ilvl w:val="0"/>
          <w:numId w:val="1001"/>
        </w:numPr>
      </w:pPr>
      <w:r>
        <w:rPr>
          <w:b/>
          <w:bCs/>
        </w:rPr>
        <w:t xml:space="preserve">Revenue:</w:t>
      </w:r>
      <w:r>
        <w:t xml:space="preserve"> </w:t>
      </w:r>
      <w:r>
        <w:t xml:space="preserve">~</w:t>
      </w:r>
      <m:oMath>
        <m:r>
          <m:t>1.29</m:t>
        </m:r>
        <m:r>
          <m:rPr>
            <m:sty m:val="p"/>
          </m:rPr>
          <m:t>–</m:t>
        </m:r>
      </m:oMath>
      <w:r>
        <w:t xml:space="preserve">1.31 billion, a **~13% year-over-year decline**</w:t>
      </w:r>
    </w:p>
    <w:p>
      <w:pPr>
        <w:pStyle w:val="Compact"/>
        <w:numPr>
          <w:ilvl w:val="0"/>
          <w:numId w:val="1001"/>
        </w:numPr>
      </w:pPr>
      <w:r>
        <w:rPr>
          <w:b/>
          <w:bCs/>
        </w:rPr>
        <w:t xml:space="preserve">EPS:</w:t>
      </w:r>
      <w:r>
        <w:t xml:space="preserve"> </w:t>
      </w:r>
      <w:r>
        <w:t xml:space="preserve">consensus around</w:t>
      </w:r>
      <w:r>
        <w:t xml:space="preserve"> </w:t>
      </w:r>
      <m:oMath>
        <m:r>
          <m:t>0.15</m:t>
        </m:r>
        <m:r>
          <m:rPr>
            <m:sty m:val="p"/>
          </m:rPr>
          <m:t>(</m:t>
        </m:r>
        <m:r>
          <m:t>s</m:t>
        </m:r>
        <m:r>
          <m:t>o</m:t>
        </m:r>
        <m:r>
          <m:t>m</m:t>
        </m:r>
        <m:r>
          <m:t>e</m:t>
        </m:r>
        <m:r>
          <m:t>t</m:t>
        </m:r>
        <m:r>
          <m:t>r</m:t>
        </m:r>
        <m:r>
          <m:t>a</m:t>
        </m:r>
        <m:r>
          <m:t>c</m:t>
        </m:r>
        <m:r>
          <m:t>k</m:t>
        </m:r>
        <m:r>
          <m:t>e</m:t>
        </m:r>
        <m:r>
          <m:t>r</m:t>
        </m:r>
        <m:r>
          <m:t>s</m:t>
        </m:r>
        <m:r>
          <m:t>s</m:t>
        </m:r>
        <m:r>
          <m:t>h</m:t>
        </m:r>
        <m:r>
          <m:t>o</m:t>
        </m:r>
        <m:r>
          <m:t>w</m:t>
        </m:r>
        <m:r>
          <m:t>a</m:t>
        </m:r>
        <m:r>
          <m:t>s</m:t>
        </m:r>
        <m:r>
          <m:t>l</m:t>
        </m:r>
        <m:r>
          <m:t>o</m:t>
        </m:r>
        <m:r>
          <m:t>w</m:t>
        </m:r>
        <m:r>
          <m:t>a</m:t>
        </m:r>
        <m:r>
          <m:t>s</m:t>
        </m:r>
        <m:r>
          <m:t>a</m:t>
        </m:r>
        <m:r>
          <m:rPr>
            <m:sty m:val="p"/>
          </m:rPr>
          <m:t>*</m:t>
        </m:r>
        <m:r>
          <m:rPr>
            <m:sty m:val="p"/>
          </m:rPr>
          <m:t>*</m:t>
        </m:r>
      </m:oMath>
      <w:r>
        <w:t xml:space="preserve">0.23 loss**), versus $0.31 a year ago — a swing driven almost entirely by weaker trading activity</w:t>
      </w:r>
    </w:p>
    <w:p>
      <w:pPr>
        <w:pStyle w:val="Compact"/>
        <w:numPr>
          <w:ilvl w:val="0"/>
          <w:numId w:val="1001"/>
        </w:numPr>
      </w:pPr>
      <w:r>
        <w:rPr>
          <w:b/>
          <w:bCs/>
        </w:rPr>
        <w:t xml:space="preserve">Trading volume:</w:t>
      </w:r>
      <w:r>
        <w:t xml:space="preserve"> </w:t>
      </w:r>
      <w:r>
        <w:t xml:space="preserve">Street estimates cluster near</w:t>
      </w:r>
      <w:r>
        <w:t xml:space="preserve"> </w:t>
      </w:r>
      <m:oMath>
        <m:r>
          <m:t>161</m:t>
        </m:r>
        <m:r>
          <m:rPr>
            <m:sty m:val="p"/>
          </m:rPr>
          <m:t>–</m:t>
        </m:r>
        <m:r>
          <m:t>178</m:t>
        </m:r>
        <m:r>
          <m:t>b</m:t>
        </m:r>
        <m:r>
          <m:t>i</m:t>
        </m:r>
        <m:r>
          <m:t>l</m:t>
        </m:r>
        <m:r>
          <m:t>l</m:t>
        </m:r>
        <m:r>
          <m:t>i</m:t>
        </m:r>
        <m:r>
          <m:t>o</m:t>
        </m:r>
        <m:r>
          <m:t>n</m:t>
        </m:r>
        <m:r>
          <m:rPr>
            <m:sty m:val="p"/>
          </m:rPr>
          <m:t>,</m:t>
        </m:r>
        <m:r>
          <m:t>b</m:t>
        </m:r>
        <m:r>
          <m:t>u</m:t>
        </m:r>
        <m:r>
          <m:t>t</m:t>
        </m:r>
        <m:r>
          <m:t>B</m:t>
        </m:r>
        <m:r>
          <m:t>a</m:t>
        </m:r>
        <m:r>
          <m:t>r</m:t>
        </m:r>
        <m:r>
          <m:t>c</m:t>
        </m:r>
        <m:r>
          <m:t>l</m:t>
        </m:r>
        <m:r>
          <m:t>a</m:t>
        </m:r>
        <m:r>
          <m:t>y</m:t>
        </m:r>
        <m:r>
          <m:t>s</m:t>
        </m:r>
        <m:r>
          <m:t>n</m:t>
        </m:r>
        <m:r>
          <m:t>o</m:t>
        </m:r>
        <m:r>
          <m:t>w</m:t>
        </m:r>
        <m:r>
          <m:t>m</m:t>
        </m:r>
        <m:r>
          <m:t>o</m:t>
        </m:r>
        <m:r>
          <m:t>d</m:t>
        </m:r>
        <m:r>
          <m:t>e</m:t>
        </m:r>
        <m:r>
          <m:t>l</m:t>
        </m:r>
        <m:r>
          <m:t>s</m:t>
        </m:r>
        <m:r>
          <m:t>r</m:t>
        </m:r>
        <m:r>
          <m:t>o</m:t>
        </m:r>
        <m:r>
          <m:t>u</m:t>
        </m:r>
        <m:r>
          <m:t>g</m:t>
        </m:r>
        <m:r>
          <m:t>h</m:t>
        </m:r>
        <m:r>
          <m:t>l</m:t>
        </m:r>
        <m:r>
          <m:t>y</m:t>
        </m:r>
        <m:r>
          <m:rPr>
            <m:sty m:val="p"/>
          </m:rPr>
          <m:t>*</m:t>
        </m:r>
        <m:r>
          <m:rPr>
            <m:sty m:val="p"/>
          </m:rPr>
          <m:t>*</m:t>
        </m:r>
      </m:oMath>
      <w:r>
        <w:t xml:space="preserve">152 billion**, well below consensus, citing an April–May volume air pocket</w:t>
      </w:r>
    </w:p>
    <w:p>
      <w:pPr>
        <w:pStyle w:val="Compact"/>
        <w:numPr>
          <w:ilvl w:val="0"/>
          <w:numId w:val="1001"/>
        </w:numPr>
      </w:pPr>
      <w:r>
        <w:rPr>
          <w:b/>
          <w:bCs/>
        </w:rPr>
        <w:t xml:space="preserve">Subscription &amp; services revenue:</w:t>
      </w:r>
      <w:r>
        <w:t xml:space="preserve"> </w:t>
      </w:r>
      <w:r>
        <w:t xml:space="preserve">consensus ~$601 million, within Coinbase's own $565–645 million guided range</w:t>
      </w:r>
    </w:p>
    <w:p>
      <w:pPr>
        <w:pStyle w:val="Compact"/>
        <w:numPr>
          <w:ilvl w:val="0"/>
          <w:numId w:val="1001"/>
        </w:numPr>
      </w:pPr>
      <w:r>
        <w:t xml:space="preserve">Zacks flags a</w:t>
      </w:r>
      <w:r>
        <w:t xml:space="preserve"> </w:t>
      </w:r>
      <w:r>
        <w:rPr>
          <w:b/>
          <w:bCs/>
        </w:rPr>
        <w:t xml:space="preserve">negative Earnings ESP (-5.23%)</w:t>
      </w:r>
      <w:r>
        <w:t xml:space="preserve">, meaning the most recent analyst estimates sit below consensus — a mild yellow flag against a beat</w:t>
      </w:r>
    </w:p>
    <w:p>
      <w:pPr>
        <w:pStyle w:val="Compact"/>
        <w:numPr>
          <w:ilvl w:val="0"/>
          <w:numId w:val="1001"/>
        </w:numPr>
      </w:pPr>
      <w:r>
        <w:t xml:space="preserve">Average analyst price target sits near $216, well above the current share price, reflecting still-constructive longer-term views despite near-term estimate cuts</w:t>
      </w:r>
    </w:p>
    <w:bookmarkEnd w:id="10"/>
    <w:bookmarkStart w:id="11" w:name="Xa6a978e0dc1afea7d57e2cf49de732823456709"/>
    <w:p>
      <w:pPr>
        <w:pStyle w:val="Heading2"/>
      </w:pPr>
      <w:r>
        <w:t xml:space="preserve">Why the Quarter Was Tough: The Crypto Backdrop</w:t>
      </w:r>
    </w:p>
    <w:p>
      <w:pPr>
        <w:pStyle w:val="FirstParagraph"/>
      </w:pPr>
      <w:r>
        <w:t xml:space="preserve">Q2 2026 was one of the weakest quarters for digital assets in years. Total crypto market cap fell roughly 12.6% quarter-over-quarter to about $2.1 trillion — down ~52% from the October 2025 peak — driven by a hawkish Fed, U.S.-Iran tensions, sustained spot Bitcoin ETF outflows, and Strategy's symbolic sale of BTC holdings. Bitcoin gave back its entire April rally to end the quarter down roughly 11%, while Ethereum fell more sharply. Spot trading volumes on centralized exchanges plunged nearly 28% quarter-over-quarter industry-wide, with May marking a multi-year low before a modest June rebound. This matters enormously for Coinbase because transaction revenue is still the largest single swing factor in results, even as the company diversifies.</w:t>
      </w:r>
    </w:p>
    <w:p>
      <w:pPr>
        <w:pStyle w:val="BodyText"/>
      </w:pPr>
      <w:r>
        <w:t xml:space="preserve">Consistent with this, prediction-market bettors on Kalshi were already positioned for</w:t>
      </w:r>
      <w:r>
        <w:t xml:space="preserve"> </w:t>
      </w:r>
      <w:r>
        <w:rPr>
          <w:b/>
          <w:bCs/>
        </w:rPr>
        <w:t xml:space="preserve">a third consecutive quarterly decline in Coinbase trading volume</w:t>
      </w:r>
      <w:r>
        <w:t xml:space="preserve"> </w:t>
      </w:r>
      <w:r>
        <w:t xml:space="preserve">heading into the print, and multiple sell-side desks (Barclays, Clear Street, Benchmark, Compass Point) trimmed Q2 EBITDA estimates in the days before earnings, pointing to weaker blockchain rewards and institutional/options activity at Deribit.</w:t>
      </w:r>
    </w:p>
    <w:bookmarkEnd w:id="11"/>
    <w:bookmarkStart w:id="12" w:name="what-to-watch-in-the-print"/>
    <w:p>
      <w:pPr>
        <w:pStyle w:val="Heading2"/>
      </w:pPr>
      <w:r>
        <w:t xml:space="preserve">What to Watch in the Print</w:t>
      </w:r>
    </w:p>
    <w:p>
      <w:pPr>
        <w:pStyle w:val="FirstParagraph"/>
      </w:pPr>
      <w:r>
        <w:rPr>
          <w:b/>
          <w:bCs/>
        </w:rPr>
        <w:t xml:space="preserve">1. Diversification away from spot trading.</w:t>
      </w:r>
      <w:r>
        <w:t xml:space="preserve"> </w:t>
      </w:r>
      <w:r>
        <w:t xml:space="preserve">In Q1, management emphasized that subscription and services revenue reached 44% of net revenue, and highlighted 12 products generating over $100 million in annualized revenue, including retail derivatives (annualizing over $200 million) and prediction markets (reaching $100 million annualized within two months of launch). The key question for Q2: did these newer lines — derivatives, prediction markets, non-crypto contracts (gold, silver, oil), stablecoins — grow enough to cushion a weak spot-trading quarter? Sell-side previews suggest derivatives and prediction markets "contributed little to offset weaker spot volumes during Q2," which will be an important nuance versus the diversification narrative.</w:t>
      </w:r>
    </w:p>
    <w:p>
      <w:pPr>
        <w:pStyle w:val="BodyText"/>
      </w:pPr>
      <w:r>
        <w:rPr>
          <w:b/>
          <w:bCs/>
        </w:rPr>
        <w:t xml:space="preserve">2. USDC/stablecoin economics.</w:t>
      </w:r>
      <w:r>
        <w:t xml:space="preserve"> </w:t>
      </w:r>
      <w:r>
        <w:t xml:space="preserve">Coinbase is the largest distributor of USDC and captures roughly half of USDC-related economics under its Circle agreement. Watch average USDC balances on platform (a Q1 all-time high of $19 billion) and whether stablecoin revenue held up even as the broader stablecoin market cap contracted roughly 1.6% industry-wide in Q2 (the first such contraction since 2023).</w:t>
      </w:r>
    </w:p>
    <w:p>
      <w:pPr>
        <w:pStyle w:val="BodyText"/>
      </w:pPr>
      <w:r>
        <w:rPr>
          <w:b/>
          <w:bCs/>
        </w:rPr>
        <w:t xml:space="preserve">3. Expense discipline and the restructuring.</w:t>
      </w:r>
      <w:r>
        <w:t xml:space="preserve"> </w:t>
      </w:r>
      <w:r>
        <w:t xml:space="preserve">Coinbase guided to Q2 tech/dev + G&amp;A expenses of $820–870 million (down 4–9% sequentially) plus $50–60 million of one-time restructuring costs tied to a headcount reduction announced alongside Q1 results, framed as part of a shift to becoming an "AI-native" company (management cited pull requests per engineer up ~80% year-over-year). Full-year 2026 adjusted expense guidance was set at $4.3–4.6 billion. Execution against this cost trajectory will matter for EBITDA even if revenue disappoints.</w:t>
      </w:r>
    </w:p>
    <w:p>
      <w:pPr>
        <w:pStyle w:val="BodyText"/>
      </w:pPr>
      <w:r>
        <w:rPr>
          <w:b/>
          <w:bCs/>
        </w:rPr>
        <w:t xml:space="preserve">4. Deribit/options integration and the Everything Exchange.</w:t>
      </w:r>
      <w:r>
        <w:t xml:space="preserve"> </w:t>
      </w:r>
      <w:r>
        <w:t xml:space="preserve">Management said in Q1 it expects full integration of Deribit (spot, perps, futures, options on one platform) during 2026, with U.S. options timing still unspecified. Any update on milestones, plus derivatives/international exchange revenue trends, will be watched given options activity at Deribit reportedly softened this quarter after Q4's record.</w:t>
      </w:r>
    </w:p>
    <w:p>
      <w:pPr>
        <w:pStyle w:val="BodyText"/>
      </w:pPr>
      <w:r>
        <w:rPr>
          <w:b/>
          <w:bCs/>
        </w:rPr>
        <w:t xml:space="preserve">5. Management commentary over the headline numbers.</w:t>
      </w:r>
      <w:r>
        <w:t xml:space="preserve"> </w:t>
      </w:r>
      <w:r>
        <w:t xml:space="preserve">Multiple analysts (Barclays, Compass Point, Clear Street) have essentially pre-conceded a soft quarter and say the more important signal will be</w:t>
      </w:r>
      <w:r>
        <w:t xml:space="preserve"> </w:t>
      </w:r>
      <w:r>
        <w:rPr>
          <w:b/>
          <w:bCs/>
        </w:rPr>
        <w:t xml:space="preserve">forward guidance for H2 2026</w:t>
      </w:r>
      <w:r>
        <w:t xml:space="preserve"> </w:t>
      </w:r>
      <w:r>
        <w:t xml:space="preserve">and color on the regulatory outlook, rather than the Q2 beat/miss itself.</w:t>
      </w:r>
    </w:p>
    <w:bookmarkEnd w:id="12"/>
    <w:bookmarkStart w:id="13" w:name="the-regulatory-wildcard-the-clarity-act"/>
    <w:p>
      <w:pPr>
        <w:pStyle w:val="Heading2"/>
      </w:pPr>
      <w:r>
        <w:t xml:space="preserve">The Regulatory Wildcard: The CLARITY Act</w:t>
      </w:r>
    </w:p>
    <w:p>
      <w:pPr>
        <w:pStyle w:val="FirstParagraph"/>
      </w:pPr>
      <w:r>
        <w:t xml:space="preserve">This is arguably the single biggest swing factor for the stock right now, independent of the quarter's numbers:</w:t>
      </w:r>
    </w:p>
    <w:p>
      <w:pPr>
        <w:pStyle w:val="Compact"/>
        <w:numPr>
          <w:ilvl w:val="0"/>
          <w:numId w:val="1002"/>
        </w:numPr>
      </w:pPr>
      <w:r>
        <w:t xml:space="preserve">The bill would move most crypto trading out of SEC jurisdiction and into a clearer framework, something Coinbase has pushed for over several years</w:t>
      </w:r>
    </w:p>
    <w:p>
      <w:pPr>
        <w:pStyle w:val="Compact"/>
        <w:numPr>
          <w:ilvl w:val="0"/>
          <w:numId w:val="1002"/>
        </w:numPr>
      </w:pPr>
      <w:r>
        <w:t xml:space="preserve">The Senate Banking Committee advanced its version, and momentum built through July, with Coinbase shares rising as much as 11% intraday on reports of a compromise between Republican senators and the White House on a crypto ethics/rewards provision</w:t>
      </w:r>
    </w:p>
    <w:p>
      <w:pPr>
        <w:pStyle w:val="Compact"/>
        <w:numPr>
          <w:ilvl w:val="0"/>
          <w:numId w:val="1002"/>
        </w:numPr>
      </w:pPr>
      <w:r>
        <w:t xml:space="preserve">However, as of late July, the path remained genuinely uncertain: Democratic senators including Murphy, Van Hollen, and Merkley formally opposed a merged draft that omitted ethics provisions they'd demanded, and the debate over whether the DOJ or state attorneys general should enforce ethics rules remains a sticking point</w:t>
      </w:r>
    </w:p>
    <w:p>
      <w:pPr>
        <w:pStyle w:val="Compact"/>
        <w:numPr>
          <w:ilvl w:val="0"/>
          <w:numId w:val="1002"/>
        </w:numPr>
      </w:pPr>
      <w:r>
        <w:t xml:space="preserve">Congress faces a hard deadline: the Senate begins recess around August 7, and failure to pass the bill before then could delay market-structure legislation for years — a scenario Coinbase's own commentary has flagged as a real risk given its history of SEC enforcement friction</w:t>
      </w:r>
    </w:p>
    <w:p>
      <w:pPr>
        <w:pStyle w:val="Compact"/>
        <w:numPr>
          <w:ilvl w:val="0"/>
          <w:numId w:val="1002"/>
        </w:numPr>
      </w:pPr>
      <w:r>
        <w:t xml:space="preserve">On Q1's call, Chief Legal Officer Paul Grewal expressed confidence in a signed bill "by the end of the summer," though the situation has since become more contentious than that timeline implied</w:t>
      </w:r>
    </w:p>
    <w:p>
      <w:pPr>
        <w:pStyle w:val="FirstParagraph"/>
      </w:pPr>
      <w:r>
        <w:t xml:space="preserve">Expect extensive Q&amp;A on this topic; passage (or failure) could matter more to the stock over the following weeks than the Q2 numbers themselves.</w:t>
      </w:r>
    </w:p>
    <w:bookmarkEnd w:id="13"/>
    <w:bookmarkStart w:id="14" w:name="leadership-transition-noise"/>
    <w:p>
      <w:pPr>
        <w:pStyle w:val="Heading2"/>
      </w:pPr>
      <w:r>
        <w:t xml:space="preserve">Leadership Transition Noise</w:t>
      </w:r>
    </w:p>
    <w:p>
      <w:pPr>
        <w:pStyle w:val="FirstParagraph"/>
      </w:pPr>
      <w:r>
        <w:t xml:space="preserve">Investors should also be aware of a cluster of executive departures disclosed just before this earnings report:</w:t>
      </w:r>
    </w:p>
    <w:p>
      <w:pPr>
        <w:pStyle w:val="Compact"/>
        <w:numPr>
          <w:ilvl w:val="0"/>
          <w:numId w:val="1003"/>
        </w:numPr>
      </w:pPr>
      <w:r>
        <w:rPr>
          <w:b/>
          <w:bCs/>
        </w:rPr>
        <w:t xml:space="preserve">Chief Legal Officer Paul Grewal</w:t>
      </w:r>
      <w:r>
        <w:t xml:space="preserve"> </w:t>
      </w:r>
      <w:r>
        <w:t xml:space="preserve">is stepping down effective July 31, 2026 (announced July 9), with VP Legal Molly Abraham elevated to General Counsel; Grewal remains as an advisor through October</w:t>
      </w:r>
    </w:p>
    <w:p>
      <w:pPr>
        <w:pStyle w:val="Compact"/>
        <w:numPr>
          <w:ilvl w:val="0"/>
          <w:numId w:val="1003"/>
        </w:numPr>
      </w:pPr>
      <w:r>
        <w:rPr>
          <w:b/>
          <w:bCs/>
        </w:rPr>
        <w:t xml:space="preserve">Chief People Officer Lawrence Brock</w:t>
      </w:r>
      <w:r>
        <w:t xml:space="preserve"> </w:t>
      </w:r>
      <w:r>
        <w:t xml:space="preserve">is also departing, with a successor named (announced July 23)</w:t>
      </w:r>
    </w:p>
    <w:p>
      <w:pPr>
        <w:pStyle w:val="FirstParagraph"/>
      </w:pPr>
      <w:r>
        <w:t xml:space="preserve">Given Grewal has been Coinbase's public face on the CLARITY Act and prior SEC litigation, his departure lands at a delicate moment for the regulatory push, and management will likely face questions on continuity here.</w:t>
      </w:r>
    </w:p>
    <w:bookmarkEnd w:id="14"/>
    <w:bookmarkStart w:id="15" w:name="bullbear-framing-into-the-print"/>
    <w:p>
      <w:pPr>
        <w:pStyle w:val="Heading2"/>
      </w:pPr>
      <w:r>
        <w:t xml:space="preserve">Bull/Bear Framing Into the Print</w:t>
      </w:r>
    </w:p>
    <w:p>
      <w:pPr>
        <w:pStyle w:val="FirstParagraph"/>
      </w:pPr>
      <w:r>
        <w:rPr>
          <w:b/>
          <w:bCs/>
        </w:rPr>
        <w:t xml:space="preserve">Bear case:</w:t>
      </w:r>
      <w:r>
        <w:t xml:space="preserve"> </w:t>
      </w:r>
      <w:r>
        <w:t xml:space="preserve">Spot volumes fell for a third straight quarter, institutional/options activity at Deribit softened, consensus estimates have been cut repeatedly (13+ downward EPS revisions per one tracker), and Coinbase remains, in practice, still highly levered to crypto asset prices and trading volume despite diversification efforts. A negative Earnings ESP adds to beat-rate skepticism.</w:t>
      </w:r>
    </w:p>
    <w:p>
      <w:pPr>
        <w:pStyle w:val="BodyText"/>
      </w:pPr>
      <w:r>
        <w:rPr>
          <w:b/>
          <w:bCs/>
        </w:rPr>
        <w:t xml:space="preserve">Bull case:</w:t>
      </w:r>
      <w:r>
        <w:t xml:space="preserve"> </w:t>
      </w:r>
      <w:r>
        <w:t xml:space="preserve">Coinbase again likely gained crypto trading market share even in a down market (a trend management highlighted for 12+ consecutive quarters of net native unit inflows through Q1), subscription/services revenue provides a growing non-cyclical buffer, expense discipline is tracking to guidance, and — most importantly — a resolved CLARITY Act could be a structural unlock for new products, institutional capital inflows, and reduced regulatory overhang, a catalyst largely independent of this quarter's trading-volume weakness.</w:t>
      </w:r>
    </w:p>
    <w:bookmarkEnd w:id="15"/>
    <w:bookmarkStart w:id="16" w:name="bottom-line"/>
    <w:p>
      <w:pPr>
        <w:pStyle w:val="Heading2"/>
      </w:pPr>
      <w:r>
        <w:t xml:space="preserve">Bottom Line</w:t>
      </w:r>
    </w:p>
    <w:p>
      <w:pPr>
        <w:pStyle w:val="FirstParagraph"/>
      </w:pPr>
      <w:r>
        <w:t xml:space="preserve">The Q2 numbers themselves are likely to look soft — a double-digit revenue decline and a probable EPS miss versus a downwardly-revised consensus are the base case given the well-documented crypto market drawdown through April–June. The more decisive inputs for the stock are (1) management's tone on trading activity and product diversification into H2 2026, (2) any incremental color on CLARITY Act timing given the compressed legislative calendar, and (3) continuity assurances following back-to-back C-suite departures. Investors should treat the headline beat/miss as secondary to the regulatory and guidance commentary on this call.</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2026-07-29T19:20:43Z</dcterms:created>
  <dcterms:modified xsi:type="dcterms:W3CDTF">2026-07-29T19:20:43Z</dcterms:modified>
</cp:coreProperties>
</file>

<file path=docProps/custom.xml><?xml version="1.0" encoding="utf-8"?>
<Properties xmlns="http://schemas.openxmlformats.org/officeDocument/2006/custom-properties" xmlns:vt="http://schemas.openxmlformats.org/officeDocument/2006/docPropsVTypes"/>
</file>