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in-earnings-predictions--2026-07-30"/>
    <w:p>
      <w:pPr>
        <w:pStyle w:val="Heading1"/>
      </w:pPr>
      <w:r>
        <w:t xml:space="preserve">COIN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~$1.27B vs. cons $1.33B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Transaction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~$610M vs. cons $620M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Subscription and services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~$590M vs. cons $641M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Subscription and services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~$600M vs. cons $630M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expenses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~$4.43B vs. cons $4.45B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-10.0% (FOLLOW-THROUGH)</w:t>
            </w:r>
          </w:p>
        </w:tc>
        <w:tc>
          <w:tcPr/>
          <w:p>
            <w:pPr>
              <w:pStyle w:val="Compact"/>
            </w:pPr>
            <w:r>
              <w:t xml:space="preserve">Q2 transaction and subscription shortfalls plus a below-consensus Q3 subscription run-rate should drive FY2026 revenue and EBITDA estimate cuts; maintained expense guidance limits the offset, so revisions likely extend the initial decline despite regulatory optionality.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2026-07-29T19:24:20Z</dcterms:created>
  <dcterms:modified xsi:type="dcterms:W3CDTF">2026-07-29T19:24:20Z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