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coin-q2-2026-earnings-preview"/>
    <w:p>
      <w:pPr>
        <w:pStyle w:val="Heading1"/>
      </w:pPr>
      <w:r>
        <w:t xml:space="preserve">COIN Q2 2026 Earnings Preview</w:t>
      </w:r>
    </w:p>
    <w:p>
      <w:pPr>
        <w:pStyle w:val="FirstParagraph"/>
      </w:pPr>
      <w:r>
        <w:rPr>
          <w:b/>
          <w:bCs/>
        </w:rPr>
        <w:t xml:space="preserve">Report:</w:t>
      </w:r>
      <w:r>
        <w:t xml:space="preserve"> </w:t>
      </w:r>
      <w:r>
        <w:t xml:space="preserve">Thursday, July 30, 2026, after market close</w:t>
      </w:r>
      <w:r>
        <w:br/>
      </w:r>
      <w:r>
        <w:rPr>
          <w:b/>
          <w:bCs/>
        </w:rPr>
        <w:t xml:space="preserve">Investor Q&amp;A:</w:t>
      </w:r>
      <w:r>
        <w:t xml:space="preserve"> </w:t>
      </w:r>
      <w:r>
        <w:t xml:space="preserve">2:00 p.m. PT / 5:00 p.m. ET</w:t>
      </w:r>
      <w:r>
        <w:br/>
      </w:r>
      <w:r>
        <w:rPr>
          <w:b/>
          <w:bCs/>
        </w:rPr>
        <w:t xml:space="preserve">Recent share price:</w:t>
      </w:r>
      <w:r>
        <w:t xml:space="preserve"> </w:t>
      </w:r>
      <w:r>
        <w:t xml:space="preserve">approximately</w:t>
      </w:r>
      <w:r>
        <w:t xml:space="preserve"> </w:t>
      </w:r>
      <w:r>
        <w:rPr>
          <w:b/>
          <w:bCs/>
        </w:rPr>
        <w:t xml:space="preserve">$165</w:t>
      </w:r>
      <w:r>
        <w:t xml:space="preserve">, down roughly</w:t>
      </w:r>
      <w:r>
        <w:t xml:space="preserve"> </w:t>
      </w:r>
      <w:r>
        <w:rPr>
          <w:b/>
          <w:bCs/>
        </w:rPr>
        <w:t xml:space="preserve">27% from year-end 2025</w:t>
      </w:r>
      <w:r>
        <w:t xml:space="preserve">. (</w:t>
      </w:r>
      <w:hyperlink r:id="rId9">
        <w:r>
          <w:rPr>
            <w:rStyle w:val="Hyperlink"/>
          </w:rPr>
          <w:t xml:space="preserve">investor.coinbase.com</w:t>
        </w:r>
      </w:hyperlink>
      <w:r>
        <w:t xml:space="preserve">)</w:t>
      </w:r>
    </w:p>
    <w:bookmarkStart w:id="11" w:name="investment-setup"/>
    <w:p>
      <w:pPr>
        <w:pStyle w:val="Heading2"/>
      </w:pPr>
      <w:r>
        <w:t xml:space="preserve">Investment setup</w:t>
      </w:r>
    </w:p>
    <w:p>
      <w:pPr>
        <w:pStyle w:val="FirstParagraph"/>
      </w:pPr>
      <w:r>
        <w:t xml:space="preserve">The central question is not whether Coinbase had a strong trading quarter—it probably did not. The more important question is whether growth in</w:t>
      </w:r>
      <w:r>
        <w:t xml:space="preserve"> </w:t>
      </w:r>
      <w:r>
        <w:rPr>
          <w:b/>
          <w:bCs/>
        </w:rPr>
        <w:t xml:space="preserve">stablecoins, derivatives, prediction markets and lending</w:t>
      </w:r>
      <w:r>
        <w:t xml:space="preserve"> </w:t>
      </w:r>
      <w:r>
        <w:t xml:space="preserve">can offset continued weakness in spot-crypto activity while management reduces the company’s cost base.</w:t>
      </w:r>
    </w:p>
    <w:p>
      <w:pPr>
        <w:pStyle w:val="BodyText"/>
      </w:pPr>
      <w:r>
        <w:t xml:space="preserve">Expectations have fallen accordingly. Current third-party estimates cluster around</w:t>
      </w:r>
      <w:r>
        <w:t xml:space="preserve"> </w:t>
      </w:r>
      <m:oMath>
        <m:r>
          <m:t>1.35</m:t>
        </m:r>
        <m:r>
          <m:rPr>
            <m:sty m:val="p"/>
          </m:rPr>
          <m:t>–</m:t>
        </m:r>
      </m:oMath>
      <w:r>
        <w:rPr>
          <w:b/>
          <w:bCs/>
        </w:rPr>
        <w:t xml:space="preserve">1.38 billion of revenue</w:t>
      </w:r>
      <w:r>
        <w:t xml:space="preserve">, modestly below Q1’s $1.41 billion. Published EPS estimates range from a small loss to a small profit, illustrating why headline EPS is particularly unreliable for Coinbase: mark-to-market changes in its crypto and investment portfolio can materially affect GAAP results without changing the underlying operating business. (</w:t>
      </w:r>
      <w:hyperlink r:id="rId10">
        <w:r>
          <w:rPr>
            <w:rStyle w:val="Hyperlink"/>
          </w:rPr>
          <w:t xml:space="preserve">bitmex.com</w:t>
        </w:r>
      </w:hyperlink>
      <w:r>
        <w:t xml:space="preserve">)</w:t>
      </w:r>
    </w:p>
    <w:p>
      <w:pPr>
        <w:pStyle w:val="BodyText"/>
      </w:pPr>
      <w:r>
        <w:rPr>
          <w:b/>
          <w:bCs/>
        </w:rPr>
        <w:t xml:space="preserve">My framing going into the report:</w:t>
      </w:r>
    </w:p>
    <w:p>
      <w:pPr>
        <w:pStyle w:val="Compact"/>
        <w:numPr>
          <w:ilvl w:val="0"/>
          <w:numId w:val="1001"/>
        </w:numPr>
      </w:pPr>
      <w:r>
        <w:t xml:space="preserve">The bar for core transaction revenue appears relatively low.</w:t>
      </w:r>
    </w:p>
    <w:p>
      <w:pPr>
        <w:pStyle w:val="Compact"/>
        <w:numPr>
          <w:ilvl w:val="0"/>
          <w:numId w:val="1001"/>
        </w:numPr>
      </w:pPr>
      <w:r>
        <w:t xml:space="preserve">Investors will reward evidence that diversification is becoming material, not merely strategically interesting.</w:t>
      </w:r>
    </w:p>
    <w:p>
      <w:pPr>
        <w:pStyle w:val="Compact"/>
        <w:numPr>
          <w:ilvl w:val="0"/>
          <w:numId w:val="1001"/>
        </w:numPr>
      </w:pPr>
      <w:r>
        <w:t xml:space="preserve">Cost execution and the Q3 revenue run-rate may matter more than the reported Q2 EPS number.</w:t>
      </w:r>
    </w:p>
    <w:p>
      <w:pPr>
        <w:pStyle w:val="Compact"/>
        <w:numPr>
          <w:ilvl w:val="0"/>
          <w:numId w:val="1001"/>
        </w:numPr>
      </w:pPr>
      <w:r>
        <w:t xml:space="preserve">Regulatory developments remain substantial upside optionality, but probably should not be treated as part of the base case.</w:t>
      </w:r>
    </w:p>
    <w:p>
      <w:r>
        <w:pict>
          <v:rect style="width:0;height:1.5pt" o:hralign="center" o:hrstd="t" o:hr="t"/>
        </w:pict>
      </w:r>
    </w:p>
    <w:bookmarkEnd w:id="11"/>
    <w:bookmarkStart w:id="14" w:name="Xa349b0e2682a18d8653c0c47da806d5f0178abd"/>
    <w:p>
      <w:pPr>
        <w:pStyle w:val="Heading2"/>
      </w:pPr>
      <w:r>
        <w:t xml:space="preserve">Starting point: Q1 was already a down-cycle quarter</w:t>
      </w:r>
    </w:p>
    <w:p>
      <w:pPr>
        <w:pStyle w:val="FirstParagraph"/>
      </w:pPr>
      <w:r>
        <w:t xml:space="preserve">Coinbase reported the following in Q1:</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Q1 2026 metric</w:t>
            </w:r>
          </w:p>
        </w:tc>
        <w:tc>
          <w:tcPr/>
          <w:p>
            <w:pPr>
              <w:pStyle w:val="Compact"/>
              <w:jc w:val="right"/>
            </w:pPr>
            <w:r>
              <w:t xml:space="preserve">Result</w:t>
            </w:r>
          </w:p>
        </w:tc>
      </w:tr>
      <w:tr>
        <w:tc>
          <w:tcPr/>
          <w:p>
            <w:pPr>
              <w:pStyle w:val="Compact"/>
            </w:pPr>
            <w:r>
              <w:t xml:space="preserve">Total revenue</w:t>
            </w:r>
          </w:p>
        </w:tc>
        <w:tc>
          <w:tcPr/>
          <w:p>
            <w:pPr>
              <w:pStyle w:val="Compact"/>
              <w:jc w:val="right"/>
            </w:pPr>
            <w:r>
              <w:rPr>
                <w:b/>
                <w:bCs/>
              </w:rPr>
              <w:t xml:space="preserve">$1.413B</w:t>
            </w:r>
          </w:p>
        </w:tc>
      </w:tr>
      <w:tr>
        <w:tc>
          <w:tcPr/>
          <w:p>
            <w:pPr>
              <w:pStyle w:val="Compact"/>
            </w:pPr>
            <w:r>
              <w:t xml:space="preserve">Transaction revenue</w:t>
            </w:r>
          </w:p>
        </w:tc>
        <w:tc>
          <w:tcPr/>
          <w:p>
            <w:pPr>
              <w:pStyle w:val="Compact"/>
              <w:jc w:val="right"/>
            </w:pPr>
            <w:r>
              <w:rPr>
                <w:b/>
                <w:bCs/>
              </w:rPr>
              <w:t xml:space="preserve">$756M</w:t>
            </w:r>
          </w:p>
        </w:tc>
      </w:tr>
      <w:tr>
        <w:tc>
          <w:tcPr/>
          <w:p>
            <w:pPr>
              <w:pStyle w:val="Compact"/>
            </w:pPr>
            <w:r>
              <w:t xml:space="preserve">Subscription and services revenue</w:t>
            </w:r>
          </w:p>
        </w:tc>
        <w:tc>
          <w:tcPr/>
          <w:p>
            <w:pPr>
              <w:pStyle w:val="Compact"/>
              <w:jc w:val="right"/>
            </w:pPr>
            <w:r>
              <w:rPr>
                <w:b/>
                <w:bCs/>
              </w:rPr>
              <w:t xml:space="preserve">$584M</w:t>
            </w:r>
          </w:p>
        </w:tc>
      </w:tr>
      <w:tr>
        <w:tc>
          <w:tcPr/>
          <w:p>
            <w:pPr>
              <w:pStyle w:val="Compact"/>
            </w:pPr>
            <w:r>
              <w:t xml:space="preserve">Adjusted EBITDA</w:t>
            </w:r>
          </w:p>
        </w:tc>
        <w:tc>
          <w:tcPr/>
          <w:p>
            <w:pPr>
              <w:pStyle w:val="Compact"/>
              <w:jc w:val="right"/>
            </w:pPr>
            <w:r>
              <w:rPr>
                <w:b/>
                <w:bCs/>
              </w:rPr>
              <w:t xml:space="preserve">$303M</w:t>
            </w:r>
          </w:p>
        </w:tc>
      </w:tr>
      <w:tr>
        <w:tc>
          <w:tcPr/>
          <w:p>
            <w:pPr>
              <w:pStyle w:val="Compact"/>
            </w:pPr>
            <w:r>
              <w:t xml:space="preserve">GAAP net loss</w:t>
            </w:r>
          </w:p>
        </w:tc>
        <w:tc>
          <w:tcPr/>
          <w:p>
            <w:pPr>
              <w:pStyle w:val="Compact"/>
              <w:jc w:val="right"/>
            </w:pPr>
            <w:r>
              <w:rPr>
                <w:b/>
                <w:bCs/>
              </w:rPr>
              <w:t xml:space="preserve">$(394)M</w:t>
            </w:r>
          </w:p>
        </w:tc>
      </w:tr>
      <w:tr>
        <w:tc>
          <w:tcPr/>
          <w:p>
            <w:pPr>
              <w:pStyle w:val="Compact"/>
            </w:pPr>
            <w:r>
              <w:t xml:space="preserve">Cash and cash equivalents</w:t>
            </w:r>
          </w:p>
        </w:tc>
        <w:tc>
          <w:tcPr/>
          <w:p>
            <w:pPr>
              <w:pStyle w:val="Compact"/>
              <w:jc w:val="right"/>
            </w:pPr>
            <w:r>
              <w:rPr>
                <w:b/>
                <w:bCs/>
              </w:rPr>
              <w:t xml:space="preserve">$10.2B</w:t>
            </w:r>
          </w:p>
        </w:tc>
      </w:tr>
      <w:tr>
        <w:tc>
          <w:tcPr/>
          <w:p>
            <w:pPr>
              <w:pStyle w:val="Compact"/>
            </w:pPr>
            <w:r>
              <w:t xml:space="preserve">Assets on platform</w:t>
            </w:r>
          </w:p>
        </w:tc>
        <w:tc>
          <w:tcPr/>
          <w:p>
            <w:pPr>
              <w:pStyle w:val="Compact"/>
              <w:jc w:val="right"/>
            </w:pPr>
            <w:r>
              <w:rPr>
                <w:b/>
                <w:bCs/>
              </w:rPr>
              <w:t xml:space="preserve">$294B</w:t>
            </w:r>
          </w:p>
        </w:tc>
      </w:tr>
    </w:tbl>
    <w:p>
      <w:pPr>
        <w:pStyle w:val="BodyText"/>
      </w:pPr>
      <w:r>
        <w:t xml:space="preserve">The divergence between a $394 million GAAP loss and $303 million of positive adjusted EBITDA was largely attributable to non-operating and mark-to-market items, including a $482 million loss on crypto assets held for investment. Investors should therefore focus on</w:t>
      </w:r>
      <w:r>
        <w:t xml:space="preserve"> </w:t>
      </w:r>
      <w:r>
        <w:rPr>
          <w:b/>
          <w:bCs/>
        </w:rPr>
        <w:t xml:space="preserve">revenue composition, adjusted EBITDA and cash generation</w:t>
      </w:r>
      <w:r>
        <w:t xml:space="preserve">, rather than treating GAAP EPS as a clean measure of operating performance. (</w:t>
      </w:r>
      <w:hyperlink r:id="rId12">
        <w:r>
          <w:rPr>
            <w:rStyle w:val="Hyperlink"/>
          </w:rPr>
          <w:t xml:space="preserve">sec.gov</w:t>
        </w:r>
      </w:hyperlink>
      <w:r>
        <w:t xml:space="preserve">)</w:t>
      </w:r>
    </w:p>
    <w:p>
      <w:pPr>
        <w:pStyle w:val="BodyText"/>
      </w:pPr>
      <w:r>
        <w:t xml:space="preserve">Q1 also provided several encouraging operating data points:</w:t>
      </w:r>
    </w:p>
    <w:p>
      <w:pPr>
        <w:pStyle w:val="Compact"/>
        <w:numPr>
          <w:ilvl w:val="0"/>
          <w:numId w:val="1002"/>
        </w:numPr>
      </w:pPr>
      <w:r>
        <w:t xml:space="preserve">Crypto trading-volume market share reached a record</w:t>
      </w:r>
      <w:r>
        <w:t xml:space="preserve"> </w:t>
      </w:r>
      <w:r>
        <w:rPr>
          <w:b/>
          <w:bCs/>
        </w:rPr>
        <w:t xml:space="preserve">8.6%</w:t>
      </w:r>
      <w:r>
        <w:t xml:space="preserve">.</w:t>
      </w:r>
    </w:p>
    <w:p>
      <w:pPr>
        <w:pStyle w:val="Compact"/>
        <w:numPr>
          <w:ilvl w:val="0"/>
          <w:numId w:val="1002"/>
        </w:numPr>
      </w:pPr>
      <w:r>
        <w:t xml:space="preserve">Average USDC held in Coinbase products reached</w:t>
      </w:r>
      <w:r>
        <w:t xml:space="preserve"> </w:t>
      </w:r>
      <w:r>
        <w:rPr>
          <w:b/>
          <w:bCs/>
        </w:rPr>
        <w:t xml:space="preserve">$19 billion</w:t>
      </w:r>
      <w:r>
        <w:t xml:space="preserve">.</w:t>
      </w:r>
    </w:p>
    <w:p>
      <w:pPr>
        <w:pStyle w:val="Compact"/>
        <w:numPr>
          <w:ilvl w:val="0"/>
          <w:numId w:val="1002"/>
        </w:numPr>
      </w:pPr>
      <w:r>
        <w:t xml:space="preserve">Retail derivatives exceeded a</w:t>
      </w:r>
      <w:r>
        <w:t xml:space="preserve"> </w:t>
      </w:r>
      <w:r>
        <w:rPr>
          <w:b/>
          <w:bCs/>
        </w:rPr>
        <w:t xml:space="preserve">$200 million annualized revenue rate</w:t>
      </w:r>
      <w:r>
        <w:t xml:space="preserve">.</w:t>
      </w:r>
    </w:p>
    <w:p>
      <w:pPr>
        <w:pStyle w:val="Compact"/>
        <w:numPr>
          <w:ilvl w:val="0"/>
          <w:numId w:val="1002"/>
        </w:numPr>
      </w:pPr>
      <w:r>
        <w:t xml:space="preserve">Prediction markets reached a</w:t>
      </w:r>
      <w:r>
        <w:t xml:space="preserve"> </w:t>
      </w:r>
      <w:r>
        <w:rPr>
          <w:b/>
          <w:bCs/>
        </w:rPr>
        <w:t xml:space="preserve">$100 million annualized rate</w:t>
      </w:r>
      <w:r>
        <w:t xml:space="preserve"> </w:t>
      </w:r>
      <w:r>
        <w:t xml:space="preserve">in March.</w:t>
      </w:r>
    </w:p>
    <w:p>
      <w:pPr>
        <w:pStyle w:val="Compact"/>
        <w:numPr>
          <w:ilvl w:val="0"/>
          <w:numId w:val="1002"/>
        </w:numPr>
      </w:pPr>
      <w:r>
        <w:t xml:space="preserve">Coinbase had recorded 12 consecutive quarters of net native-unit inflows and 13 consecutive quarters of positive adjusted EBITDA. (</w:t>
      </w:r>
      <w:hyperlink r:id="rId13">
        <w:r>
          <w:rPr>
            <w:rStyle w:val="Hyperlink"/>
          </w:rPr>
          <w:t xml:space="preserve">investor.coinbase.com</w:t>
        </w:r>
      </w:hyperlink>
      <w:r>
        <w:t xml:space="preserve">)</w:t>
      </w:r>
    </w:p>
    <w:p>
      <w:pPr>
        <w:pStyle w:val="FirstParagraph"/>
      </w:pPr>
      <w:r>
        <w:t xml:space="preserve">Q2 needs to show that at least some of this momentum persisted after the initial product-launch periods.</w:t>
      </w:r>
    </w:p>
    <w:p>
      <w:r>
        <w:pict>
          <v:rect style="width:0;height:1.5pt" o:hralign="center" o:hrstd="t" o:hr="t"/>
        </w:pict>
      </w:r>
    </w:p>
    <w:bookmarkEnd w:id="14"/>
    <w:bookmarkStart w:id="15" w:name="what-coinbase-guided-for-q2"/>
    <w:p>
      <w:pPr>
        <w:pStyle w:val="Heading2"/>
      </w:pPr>
      <w:r>
        <w:t xml:space="preserve">What Coinbase guided for Q2</w:t>
      </w:r>
    </w:p>
    <w:p>
      <w:pPr>
        <w:pStyle w:val="FirstParagraph"/>
      </w:pPr>
      <w:r>
        <w:t xml:space="preserve">Management’s formal Q2 framework was: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guidance</w:t>
            </w:r>
          </w:p>
        </w:tc>
      </w:tr>
      <w:tr>
        <w:tc>
          <w:tcPr/>
          <w:p>
            <w:pPr>
              <w:pStyle w:val="Compact"/>
            </w:pPr>
            <w:r>
              <w:t xml:space="preserve">Subscription and services revenue</w:t>
            </w:r>
          </w:p>
        </w:tc>
        <w:tc>
          <w:tcPr/>
          <w:p>
            <w:pPr>
              <w:pStyle w:val="Compact"/>
              <w:jc w:val="right"/>
            </w:pPr>
            <m:oMath>
              <m:r>
                <m:t>565</m:t>
              </m:r>
              <m:r>
                <m:t>M</m:t>
              </m:r>
              <m:r>
                <m:rPr>
                  <m:sty m:val="p"/>
                </m:rPr>
                <m:t>–</m:t>
              </m:r>
            </m:oMath>
            <w:r>
              <w:rPr>
                <w:b/>
                <w:bCs/>
              </w:rPr>
              <w:t xml:space="preserve">645M</w:t>
            </w:r>
          </w:p>
        </w:tc>
      </w:tr>
      <w:tr>
        <w:tc>
          <w:tcPr/>
          <w:p>
            <w:pPr>
              <w:pStyle w:val="Compact"/>
            </w:pPr>
            <w:r>
              <w:t xml:space="preserve">Transaction revenue through May 5</w:t>
            </w:r>
          </w:p>
        </w:tc>
        <w:tc>
          <w:tcPr/>
          <w:p>
            <w:pPr>
              <w:pStyle w:val="Compact"/>
              <w:jc w:val="right"/>
            </w:pPr>
            <w:r>
              <w:rPr>
                <w:b/>
                <w:bCs/>
              </w:rPr>
              <w:t xml:space="preserve">~$215M</w:t>
            </w:r>
          </w:p>
        </w:tc>
      </w:tr>
      <w:tr>
        <w:tc>
          <w:tcPr/>
          <w:p>
            <w:pPr>
              <w:pStyle w:val="Compact"/>
            </w:pPr>
            <w:r>
              <w:t xml:space="preserve">Transaction expense</w:t>
            </w:r>
          </w:p>
        </w:tc>
        <w:tc>
          <w:tcPr/>
          <w:p>
            <w:pPr>
              <w:pStyle w:val="Compact"/>
              <w:jc w:val="right"/>
            </w:pPr>
            <w:r>
              <w:rPr>
                <w:b/>
                <w:bCs/>
              </w:rPr>
              <w:t xml:space="preserve">Low-to-mid teens % of net revenue</w:t>
            </w:r>
          </w:p>
        </w:tc>
      </w:tr>
      <w:tr>
        <w:tc>
          <w:tcPr/>
          <w:p>
            <w:pPr>
              <w:pStyle w:val="Compact"/>
            </w:pPr>
            <w:r>
              <w:t xml:space="preserve">Technology and development + G&amp;A</w:t>
            </w:r>
          </w:p>
        </w:tc>
        <w:tc>
          <w:tcPr/>
          <w:p>
            <w:pPr>
              <w:pStyle w:val="Compact"/>
              <w:jc w:val="right"/>
            </w:pPr>
            <m:oMath>
              <m:r>
                <m:t>820</m:t>
              </m:r>
              <m:r>
                <m:t>M</m:t>
              </m:r>
              <m:r>
                <m:rPr>
                  <m:sty m:val="p"/>
                </m:rPr>
                <m:t>–</m:t>
              </m:r>
            </m:oMath>
            <w:r>
              <w:rPr>
                <w:b/>
                <w:bCs/>
              </w:rPr>
              <w:t xml:space="preserve">870M</w:t>
            </w:r>
          </w:p>
        </w:tc>
      </w:tr>
      <w:tr>
        <w:tc>
          <w:tcPr/>
          <w:p>
            <w:pPr>
              <w:pStyle w:val="Compact"/>
            </w:pPr>
            <w:r>
              <w:t xml:space="preserve">Sales and marketing</w:t>
            </w:r>
          </w:p>
        </w:tc>
        <w:tc>
          <w:tcPr/>
          <w:p>
            <w:pPr>
              <w:pStyle w:val="Compact"/>
              <w:jc w:val="right"/>
            </w:pPr>
            <m:oMath>
              <m:r>
                <m:t>200</m:t>
              </m:r>
              <m:r>
                <m:t>M</m:t>
              </m:r>
              <m:r>
                <m:rPr>
                  <m:sty m:val="p"/>
                </m:rPr>
                <m:t>–</m:t>
              </m:r>
            </m:oMath>
            <w:r>
              <w:rPr>
                <w:b/>
                <w:bCs/>
              </w:rPr>
              <w:t xml:space="preserve">300M</w:t>
            </w:r>
          </w:p>
        </w:tc>
      </w:tr>
      <w:tr>
        <w:tc>
          <w:tcPr/>
          <w:p>
            <w:pPr>
              <w:pStyle w:val="Compact"/>
            </w:pPr>
            <w:r>
              <w:t xml:space="preserve">Stock-based compensation</w:t>
            </w:r>
          </w:p>
        </w:tc>
        <w:tc>
          <w:tcPr/>
          <w:p>
            <w:pPr>
              <w:pStyle w:val="Compact"/>
              <w:jc w:val="right"/>
            </w:pPr>
            <w:r>
              <w:rPr>
                <w:b/>
                <w:bCs/>
              </w:rPr>
              <w:t xml:space="preserve">~$240M</w:t>
            </w:r>
          </w:p>
        </w:tc>
      </w:tr>
      <w:tr>
        <w:tc>
          <w:tcPr/>
          <w:p>
            <w:pPr>
              <w:pStyle w:val="Compact"/>
            </w:pPr>
            <w:r>
              <w:t xml:space="preserve">Restructuring expense</w:t>
            </w:r>
          </w:p>
        </w:tc>
        <w:tc>
          <w:tcPr/>
          <w:p>
            <w:pPr>
              <w:pStyle w:val="Compact"/>
              <w:jc w:val="right"/>
            </w:pPr>
            <m:oMath>
              <m:r>
                <m:t>50</m:t>
              </m:r>
              <m:r>
                <m:t>M</m:t>
              </m:r>
              <m:r>
                <m:rPr>
                  <m:sty m:val="p"/>
                </m:rPr>
                <m:t>–</m:t>
              </m:r>
            </m:oMath>
            <w:r>
              <w:rPr>
                <w:b/>
                <w:bCs/>
              </w:rPr>
              <w:t xml:space="preserve">60M</w:t>
            </w:r>
          </w:p>
        </w:tc>
      </w:tr>
    </w:tbl>
    <w:p>
      <w:pPr>
        <w:pStyle w:val="BodyText"/>
      </w:pPr>
      <w:r>
        <w:t xml:space="preserve">Management explicitly warned investors not to extrapolate the approximately $215 million of transaction revenue generated through May 5. It also expected lower average crypto prices to weigh on subscription and services, partly offset by growth in USDC balances and native crypto units. (</w:t>
      </w:r>
      <w:hyperlink r:id="rId12">
        <w:r>
          <w:rPr>
            <w:rStyle w:val="Hyperlink"/>
          </w:rPr>
          <w:t xml:space="preserve">sec.gov</w:t>
        </w:r>
      </w:hyperlink>
      <w:r>
        <w:t xml:space="preserve">)</w:t>
      </w:r>
    </w:p>
    <w:p>
      <w:pPr>
        <w:pStyle w:val="BodyText"/>
      </w:pPr>
      <w:r>
        <w:t xml:space="preserve">The company’s full-year adjusted-expense guidance was</w:t>
      </w:r>
      <w:r>
        <w:t xml:space="preserve"> </w:t>
      </w:r>
      <m:oMath>
        <m:r>
          <m:t>4.25</m:t>
        </m:r>
        <m:r>
          <m:rPr>
            <m:sty m:val="p"/>
          </m:rPr>
          <m:t>–</m:t>
        </m:r>
      </m:oMath>
      <w:r>
        <w:rPr>
          <w:b/>
          <w:bCs/>
        </w:rPr>
        <w:t xml:space="preserve">4.60 billion</w:t>
      </w:r>
      <w:r>
        <w:t xml:space="preserve">, reflecting a 14% headcount reduction and an expected workforce of approximately 4,300. Excluding growth in USDC rewards, management expected adjusted expenses to be roughly flat year over year. (</w:t>
      </w:r>
      <w:hyperlink r:id="rId12">
        <w:r>
          <w:rPr>
            <w:rStyle w:val="Hyperlink"/>
          </w:rPr>
          <w:t xml:space="preserve">sec.gov</w:t>
        </w:r>
      </w:hyperlink>
      <w:r>
        <w:t xml:space="preserve">)</w:t>
      </w:r>
    </w:p>
    <w:p>
      <w:r>
        <w:pict>
          <v:rect style="width:0;height:1.5pt" o:hralign="center" o:hrstd="t" o:hr="t"/>
        </w:pict>
      </w:r>
    </w:p>
    <w:bookmarkEnd w:id="15"/>
    <w:bookmarkStart w:id="22" w:name="Xd9b3df45ae967a186c952f56755b9bd954aba7c"/>
    <w:p>
      <w:pPr>
        <w:pStyle w:val="Heading2"/>
      </w:pPr>
      <w:r>
        <w:t xml:space="preserve">Five things that will decide the reaction</w:t>
      </w:r>
    </w:p>
    <w:bookmarkStart w:id="16" w:name="X5184059fff2ba79a6f30eebdd7092ef6c8572ec"/>
    <w:p>
      <w:pPr>
        <w:pStyle w:val="Heading3"/>
      </w:pPr>
      <w:r>
        <w:t xml:space="preserve">1. Core trading: how weak was spot, and did Coinbase retain share?</w:t>
      </w:r>
    </w:p>
    <w:p>
      <w:pPr>
        <w:pStyle w:val="FirstParagraph"/>
      </w:pPr>
      <w:r>
        <w:t xml:space="preserve">Transaction revenue remains the largest swing factor. Q1 consumer transaction revenue was $567 million, institutional transaction revenue was $136 million and other transaction revenue was $53 million. Consumer spot volume fell 35% sequentially in Q1, although consumer revenue declined only 23% because of product and customer mix.</w:t>
      </w:r>
    </w:p>
    <w:p>
      <w:pPr>
        <w:pStyle w:val="BodyText"/>
      </w:pPr>
      <w:r>
        <w:t xml:space="preserve">For Q2, investors should watch:</w:t>
      </w:r>
    </w:p>
    <w:p>
      <w:pPr>
        <w:pStyle w:val="Compact"/>
        <w:numPr>
          <w:ilvl w:val="0"/>
          <w:numId w:val="1003"/>
        </w:numPr>
      </w:pPr>
      <w:r>
        <w:t xml:space="preserve">Total trading volume and its sequential change.</w:t>
      </w:r>
    </w:p>
    <w:p>
      <w:pPr>
        <w:pStyle w:val="Compact"/>
        <w:numPr>
          <w:ilvl w:val="0"/>
          <w:numId w:val="1003"/>
        </w:numPr>
      </w:pPr>
      <w:r>
        <w:t xml:space="preserve">Consumer versus institutional volume.</w:t>
      </w:r>
    </w:p>
    <w:p>
      <w:pPr>
        <w:pStyle w:val="Compact"/>
        <w:numPr>
          <w:ilvl w:val="0"/>
          <w:numId w:val="1003"/>
        </w:numPr>
      </w:pPr>
      <w:r>
        <w:t xml:space="preserve">Realized retail fee rate.</w:t>
      </w:r>
    </w:p>
    <w:p>
      <w:pPr>
        <w:pStyle w:val="Compact"/>
        <w:numPr>
          <w:ilvl w:val="0"/>
          <w:numId w:val="1003"/>
        </w:numPr>
      </w:pPr>
      <w:r>
        <w:t xml:space="preserve">Global spot and derivatives market share.</w:t>
      </w:r>
    </w:p>
    <w:p>
      <w:pPr>
        <w:pStyle w:val="Compact"/>
        <w:numPr>
          <w:ilvl w:val="0"/>
          <w:numId w:val="1003"/>
        </w:numPr>
      </w:pPr>
      <w:r>
        <w:t xml:space="preserve">Management’s commentary on July volumes and volatility.</w:t>
      </w:r>
    </w:p>
    <w:p>
      <w:pPr>
        <w:pStyle w:val="Compact"/>
        <w:numPr>
          <w:ilvl w:val="0"/>
          <w:numId w:val="1003"/>
        </w:numPr>
      </w:pPr>
      <w:r>
        <w:t xml:space="preserve">Whether native crypto units continued to flow onto the platform despite weaker prices.</w:t>
      </w:r>
    </w:p>
    <w:p>
      <w:pPr>
        <w:pStyle w:val="FirstParagraph"/>
      </w:pPr>
      <w:r>
        <w:t xml:space="preserve">A weak reported volume number is probably understood. A weak number</w:t>
      </w:r>
      <w:r>
        <w:t xml:space="preserve"> </w:t>
      </w:r>
      <w:r>
        <w:rPr>
          <w:b/>
          <w:bCs/>
        </w:rPr>
        <w:t xml:space="preserve">combined with lost market share or fee compression</w:t>
      </w:r>
      <w:r>
        <w:t xml:space="preserve"> </w:t>
      </w:r>
      <w:r>
        <w:t xml:space="preserve">would be more concerning.</w:t>
      </w:r>
    </w:p>
    <w:bookmarkEnd w:id="16"/>
    <w:bookmarkStart w:id="17" w:name="X63f8e794117c0c5efd1cb459aece3d0ab260706"/>
    <w:p>
      <w:pPr>
        <w:pStyle w:val="Heading3"/>
      </w:pPr>
      <w:r>
        <w:t xml:space="preserve">2. Are derivatives and prediction markets becoming real earnings drivers?</w:t>
      </w:r>
    </w:p>
    <w:p>
      <w:pPr>
        <w:pStyle w:val="FirstParagraph"/>
      </w:pPr>
      <w:r>
        <w:t xml:space="preserve">This is the most important test of the “Everything Exchange” strategy.</w:t>
      </w:r>
    </w:p>
    <w:p>
      <w:pPr>
        <w:pStyle w:val="BodyText"/>
      </w:pPr>
      <w:r>
        <w:t xml:space="preserve">Coinbase entered Q2 with retail derivatives running above $200 million annualized and prediction markets at approximately $100 million annualized. Those rates were still small relative to the overall business, but they could materially improve Coinbase’s revenue durability if they continue growing while spot activity remains subdued. Derivatives volume had risen 169% year over year on a trailing-12-month basis in Q1. (</w:t>
      </w:r>
      <w:hyperlink r:id="rId13">
        <w:r>
          <w:rPr>
            <w:rStyle w:val="Hyperlink"/>
          </w:rPr>
          <w:t xml:space="preserve">investor.coinbase.com</w:t>
        </w:r>
      </w:hyperlink>
      <w:r>
        <w:t xml:space="preserve">)</w:t>
      </w:r>
    </w:p>
    <w:p>
      <w:pPr>
        <w:pStyle w:val="BodyText"/>
      </w:pPr>
      <w:r>
        <w:t xml:space="preserve">Key questions include:</w:t>
      </w:r>
    </w:p>
    <w:p>
      <w:pPr>
        <w:pStyle w:val="Compact"/>
        <w:numPr>
          <w:ilvl w:val="0"/>
          <w:numId w:val="1004"/>
        </w:numPr>
      </w:pPr>
      <w:r>
        <w:t xml:space="preserve">Did prediction-market revenue sustain or exceed its March run-rate?</w:t>
      </w:r>
    </w:p>
    <w:p>
      <w:pPr>
        <w:pStyle w:val="Compact"/>
        <w:numPr>
          <w:ilvl w:val="0"/>
          <w:numId w:val="1004"/>
        </w:numPr>
      </w:pPr>
      <w:r>
        <w:t xml:space="preserve">Did retail derivatives continue growing after being integrated into the primary Coinbase app?</w:t>
      </w:r>
    </w:p>
    <w:p>
      <w:pPr>
        <w:pStyle w:val="Compact"/>
        <w:numPr>
          <w:ilvl w:val="0"/>
          <w:numId w:val="1004"/>
        </w:numPr>
      </w:pPr>
      <w:r>
        <w:t xml:space="preserve">Is Deribit maintaining market share despite weaker institutional options activity?</w:t>
      </w:r>
    </w:p>
    <w:p>
      <w:pPr>
        <w:pStyle w:val="Compact"/>
        <w:numPr>
          <w:ilvl w:val="0"/>
          <w:numId w:val="1004"/>
        </w:numPr>
      </w:pPr>
      <w:r>
        <w:t xml:space="preserve">Are non-crypto contracts—equities, commodities and prediction markets—bringing in new customers or simply shifting existing customer activity?</w:t>
      </w:r>
    </w:p>
    <w:p>
      <w:pPr>
        <w:pStyle w:val="Compact"/>
        <w:numPr>
          <w:ilvl w:val="0"/>
          <w:numId w:val="1004"/>
        </w:numPr>
      </w:pPr>
      <w:r>
        <w:t xml:space="preserve">Is the company seeing meaningful cross-selling into Coinbase One or other products?</w:t>
      </w:r>
    </w:p>
    <w:p>
      <w:pPr>
        <w:pStyle w:val="FirstParagraph"/>
      </w:pPr>
      <w:r>
        <w:t xml:space="preserve">The bullish outcome is not merely higher derivatives volume. It is evidence that these products are</w:t>
      </w:r>
      <w:r>
        <w:t xml:space="preserve"> </w:t>
      </w:r>
      <w:r>
        <w:rPr>
          <w:b/>
          <w:bCs/>
        </w:rPr>
        <w:t xml:space="preserve">incremental, recurring and attractively monetized</w:t>
      </w:r>
      <w:r>
        <w:t xml:space="preserve">.</w:t>
      </w:r>
    </w:p>
    <w:bookmarkEnd w:id="17"/>
    <w:bookmarkStart w:id="18" w:name="Xe91f87c338b4921b55657005ecff52b041ad921"/>
    <w:p>
      <w:pPr>
        <w:pStyle w:val="Heading3"/>
      </w:pPr>
      <w:r>
        <w:t xml:space="preserve">3. USDC economics and subscription revenue</w:t>
      </w:r>
    </w:p>
    <w:p>
      <w:pPr>
        <w:pStyle w:val="FirstParagraph"/>
      </w:pPr>
      <w:r>
        <w:t xml:space="preserve">Subscription and services is Coinbase’s principal buffer against weak trading conditions. The midpoint of Q2 guidance, $605 million, implies modest sequential growth from Q1’s $584 million.</w:t>
      </w:r>
    </w:p>
    <w:p>
      <w:pPr>
        <w:pStyle w:val="BodyText"/>
      </w:pPr>
      <w:r>
        <w:t xml:space="preserve">Stablecoin revenue is the largest component. In Q1, Coinbase generated $305 million of stablecoin revenue, with average USDC held in Coinbase products at a record $19 billion. Coinbase said more than 25% of circulating USDC was held in its products and that it captures approximately half of overall USDC economics. (</w:t>
      </w:r>
      <w:hyperlink r:id="rId12">
        <w:r>
          <w:rPr>
            <w:rStyle w:val="Hyperlink"/>
          </w:rPr>
          <w:t xml:space="preserve">sec.gov</w:t>
        </w:r>
      </w:hyperlink>
      <w:r>
        <w:t xml:space="preserve">)</w:t>
      </w:r>
    </w:p>
    <w:p>
      <w:pPr>
        <w:pStyle w:val="BodyText"/>
      </w:pPr>
      <w:r>
        <w:t xml:space="preserve">Watch for:</w:t>
      </w:r>
    </w:p>
    <w:p>
      <w:pPr>
        <w:pStyle w:val="Compact"/>
        <w:numPr>
          <w:ilvl w:val="0"/>
          <w:numId w:val="1005"/>
        </w:numPr>
      </w:pPr>
      <w:r>
        <w:t xml:space="preserve">Average USDC held in Coinbase products.</w:t>
      </w:r>
    </w:p>
    <w:p>
      <w:pPr>
        <w:pStyle w:val="Compact"/>
        <w:numPr>
          <w:ilvl w:val="0"/>
          <w:numId w:val="1005"/>
        </w:numPr>
      </w:pPr>
      <w:r>
        <w:t xml:space="preserve">Total USDC supply and Coinbase’s share of it.</w:t>
      </w:r>
    </w:p>
    <w:p>
      <w:pPr>
        <w:pStyle w:val="Compact"/>
        <w:numPr>
          <w:ilvl w:val="0"/>
          <w:numId w:val="1005"/>
        </w:numPr>
      </w:pPr>
      <w:r>
        <w:t xml:space="preserve">Stablecoin revenue relative to interest rates and reserve yields.</w:t>
      </w:r>
    </w:p>
    <w:p>
      <w:pPr>
        <w:pStyle w:val="Compact"/>
        <w:numPr>
          <w:ilvl w:val="0"/>
          <w:numId w:val="1005"/>
        </w:numPr>
      </w:pPr>
      <w:r>
        <w:t xml:space="preserve">The cost of USDC customer rewards.</w:t>
      </w:r>
    </w:p>
    <w:p>
      <w:pPr>
        <w:pStyle w:val="Compact"/>
        <w:numPr>
          <w:ilvl w:val="0"/>
          <w:numId w:val="1005"/>
        </w:numPr>
      </w:pPr>
      <w:r>
        <w:t xml:space="preserve">Base stablecoin volume and whether it translates into meaningful revenue.</w:t>
      </w:r>
    </w:p>
    <w:p>
      <w:pPr>
        <w:pStyle w:val="Compact"/>
        <w:numPr>
          <w:ilvl w:val="0"/>
          <w:numId w:val="1005"/>
        </w:numPr>
      </w:pPr>
      <w:r>
        <w:t xml:space="preserve">Adoption of Coinbase’s payments APIs and x402 agent-payment protocol.</w:t>
      </w:r>
    </w:p>
    <w:p>
      <w:pPr>
        <w:pStyle w:val="FirstParagraph"/>
      </w:pPr>
      <w:r>
        <w:t xml:space="preserve">A result near the</w:t>
      </w:r>
      <w:r>
        <w:t xml:space="preserve"> </w:t>
      </w:r>
      <w:r>
        <w:rPr>
          <w:b/>
          <w:bCs/>
        </w:rPr>
        <w:t xml:space="preserve">upper half of the</w:t>
      </w:r>
      <w:r>
        <w:rPr>
          <w:b/>
          <w:bCs/>
        </w:rPr>
        <w:t xml:space="preserve"> </w:t>
      </w:r>
      <m:oMath>
        <m:r>
          <m:t>565</m:t>
        </m:r>
        <m:r>
          <m:rPr>
            <m:sty m:val="p"/>
          </m:rPr>
          <m:t>–</m:t>
        </m:r>
      </m:oMath>
      <w:r>
        <w:rPr>
          <w:b/>
          <w:bCs/>
        </w:rPr>
        <w:t xml:space="preserve">645 million subscription-and-services range</w:t>
      </w:r>
      <w:r>
        <w:t xml:space="preserve"> </w:t>
      </w:r>
      <w:r>
        <w:t xml:space="preserve">would be a meaningful positive, particularly if it reflects higher balances and usage rather than temporarily favorable rates.</w:t>
      </w:r>
    </w:p>
    <w:bookmarkEnd w:id="18"/>
    <w:bookmarkStart w:id="19" w:name="Xbb8353e424bc987a70bf4563287a47d5f1fac68"/>
    <w:p>
      <w:pPr>
        <w:pStyle w:val="Heading3"/>
      </w:pPr>
      <w:r>
        <w:t xml:space="preserve">4. Cost cuts and adjusted EBITDA</w:t>
      </w:r>
    </w:p>
    <w:p>
      <w:pPr>
        <w:pStyle w:val="FirstParagraph"/>
      </w:pPr>
      <w:r>
        <w:t xml:space="preserve">Coinbase’s Q1 adjusted EBITDA fell to $303 million from $566 million in Q4, but the company remained profitable on that measure despite a difficult market.</w:t>
      </w:r>
    </w:p>
    <w:p>
      <w:pPr>
        <w:pStyle w:val="BodyText"/>
      </w:pPr>
      <w:r>
        <w:t xml:space="preserve">For Q2, the key test is whether the restructuring is producing visible savings without impairing product execution or controls. Technology and development plus G&amp;A should land between $820 million and $870 million, down from $902 million in Q1, excluding the separate</w:t>
      </w:r>
      <w:r>
        <w:t xml:space="preserve"> </w:t>
      </w:r>
      <m:oMath>
        <m:r>
          <m:t>50</m:t>
        </m:r>
        <m:r>
          <m:rPr>
            <m:sty m:val="p"/>
          </m:rPr>
          <m:t>–</m:t>
        </m:r>
      </m:oMath>
      <w:r>
        <w:t xml:space="preserve">60 million restructuring charge. (</w:t>
      </w:r>
      <w:hyperlink r:id="rId12">
        <w:r>
          <w:rPr>
            <w:rStyle w:val="Hyperlink"/>
          </w:rPr>
          <w:t xml:space="preserve">sec.gov</w:t>
        </w:r>
      </w:hyperlink>
      <w:r>
        <w:t xml:space="preserve">)</w:t>
      </w:r>
    </w:p>
    <w:p>
      <w:pPr>
        <w:pStyle w:val="BodyText"/>
      </w:pPr>
      <w:r>
        <w:t xml:space="preserve">Investors should distinguish among:</w:t>
      </w:r>
    </w:p>
    <w:p>
      <w:pPr>
        <w:pStyle w:val="Compact"/>
        <w:numPr>
          <w:ilvl w:val="0"/>
          <w:numId w:val="1006"/>
        </w:numPr>
      </w:pPr>
      <w:r>
        <w:rPr>
          <w:b/>
          <w:bCs/>
        </w:rPr>
        <w:t xml:space="preserve">Recurring operating expenses</w:t>
      </w:r>
    </w:p>
    <w:p>
      <w:pPr>
        <w:pStyle w:val="Compact"/>
        <w:numPr>
          <w:ilvl w:val="0"/>
          <w:numId w:val="1006"/>
        </w:numPr>
      </w:pPr>
      <w:r>
        <w:rPr>
          <w:b/>
          <w:bCs/>
        </w:rPr>
        <w:t xml:space="preserve">One-time restructuring costs</w:t>
      </w:r>
    </w:p>
    <w:p>
      <w:pPr>
        <w:pStyle w:val="Compact"/>
        <w:numPr>
          <w:ilvl w:val="0"/>
          <w:numId w:val="1006"/>
        </w:numPr>
      </w:pPr>
      <w:r>
        <w:rPr>
          <w:b/>
          <w:bCs/>
        </w:rPr>
        <w:t xml:space="preserve">Stock-based compensation</w:t>
      </w:r>
    </w:p>
    <w:p>
      <w:pPr>
        <w:pStyle w:val="Compact"/>
        <w:numPr>
          <w:ilvl w:val="0"/>
          <w:numId w:val="1006"/>
        </w:numPr>
      </w:pPr>
      <w:r>
        <w:rPr>
          <w:b/>
          <w:bCs/>
        </w:rPr>
        <w:t xml:space="preserve">Variable USDC rewards and marketing</w:t>
      </w:r>
    </w:p>
    <w:p>
      <w:pPr>
        <w:pStyle w:val="Compact"/>
        <w:numPr>
          <w:ilvl w:val="0"/>
          <w:numId w:val="1006"/>
        </w:numPr>
      </w:pPr>
      <w:r>
        <w:rPr>
          <w:b/>
          <w:bCs/>
        </w:rPr>
        <w:t xml:space="preserve">Crypto-portfolio marks</w:t>
      </w:r>
    </w:p>
    <w:p>
      <w:pPr>
        <w:pStyle w:val="FirstParagraph"/>
      </w:pPr>
      <w:r>
        <w:t xml:space="preserve">Maintaining positive adjusted EBITDA would extend Coinbase’s streak to 14 quarters. More importantly, a credible path to stronger margins when transaction revenue recovers would support the longer-term operating-leverage thesis.</w:t>
      </w:r>
    </w:p>
    <w:bookmarkEnd w:id="19"/>
    <w:bookmarkStart w:id="21" w:name="Xcda5427559eff70a8b1c109d7d6e59f2dc9a40a"/>
    <w:p>
      <w:pPr>
        <w:pStyle w:val="Heading3"/>
      </w:pPr>
      <w:r>
        <w:t xml:space="preserve">5. Q3 trends and the regulatory backdrop</w:t>
      </w:r>
    </w:p>
    <w:p>
      <w:pPr>
        <w:pStyle w:val="FirstParagraph"/>
      </w:pPr>
      <w:r>
        <w:t xml:space="preserve">The market is likely to look through Q2 if management reports stronger July trading or stablecoin activity. Listen carefully for:</w:t>
      </w:r>
    </w:p>
    <w:p>
      <w:pPr>
        <w:pStyle w:val="Compact"/>
        <w:numPr>
          <w:ilvl w:val="0"/>
          <w:numId w:val="1007"/>
        </w:numPr>
      </w:pPr>
      <w:r>
        <w:t xml:space="preserve">Transaction revenue generated quarter-to-date.</w:t>
      </w:r>
    </w:p>
    <w:p>
      <w:pPr>
        <w:pStyle w:val="Compact"/>
        <w:numPr>
          <w:ilvl w:val="0"/>
          <w:numId w:val="1007"/>
        </w:numPr>
      </w:pPr>
      <w:r>
        <w:t xml:space="preserve">Changes in crypto volatility and retail engagement.</w:t>
      </w:r>
    </w:p>
    <w:p>
      <w:pPr>
        <w:pStyle w:val="Compact"/>
        <w:numPr>
          <w:ilvl w:val="0"/>
          <w:numId w:val="1007"/>
        </w:numPr>
      </w:pPr>
      <w:r>
        <w:t xml:space="preserve">Progress integrating spot, futures, perpetuals and options.</w:t>
      </w:r>
    </w:p>
    <w:p>
      <w:pPr>
        <w:pStyle w:val="Compact"/>
        <w:numPr>
          <w:ilvl w:val="0"/>
          <w:numId w:val="1007"/>
        </w:numPr>
      </w:pPr>
      <w:r>
        <w:t xml:space="preserve">USDC balance trends.</w:t>
      </w:r>
    </w:p>
    <w:p>
      <w:pPr>
        <w:pStyle w:val="Compact"/>
        <w:numPr>
          <w:ilvl w:val="0"/>
          <w:numId w:val="1007"/>
        </w:numPr>
      </w:pPr>
      <w:r>
        <w:t xml:space="preserve">An updated full-year expense outlook.</w:t>
      </w:r>
    </w:p>
    <w:p>
      <w:pPr>
        <w:pStyle w:val="Compact"/>
        <w:numPr>
          <w:ilvl w:val="0"/>
          <w:numId w:val="1007"/>
        </w:numPr>
      </w:pPr>
      <w:r>
        <w:t xml:space="preserve">Product milestones expected during the second half.</w:t>
      </w:r>
    </w:p>
    <w:p>
      <w:pPr>
        <w:pStyle w:val="FirstParagraph"/>
      </w:pPr>
      <w:r>
        <w:t xml:space="preserve">Regulation is also a major valuation variable. Management previously argued that market-structure legislation could unlock institutional participation, tokenization and additional crypto-product launches. However, the timing and final treatment of stablecoin rewards remain outside Coinbase’s control.</w:t>
      </w:r>
    </w:p>
    <w:p>
      <w:pPr>
        <w:pStyle w:val="BodyText"/>
      </w:pPr>
      <w:r>
        <w:t xml:space="preserve">The legal transition deserves attention: Chief Legal Officer Paul Grewal is stepping down effective</w:t>
      </w:r>
      <w:r>
        <w:t xml:space="preserve"> </w:t>
      </w:r>
      <w:r>
        <w:rPr>
          <w:b/>
          <w:bCs/>
        </w:rPr>
        <w:t xml:space="preserve">July 31</w:t>
      </w:r>
      <w:r>
        <w:t xml:space="preserve">, with Molly Abraham expected to become general counsel and secretary. Given the importance of regulation to Coinbase’s thesis, investors should listen for reassurance around continuity in policy, litigation and legislative engagement. (</w:t>
      </w:r>
      <w:hyperlink r:id="rId20">
        <w:r>
          <w:rPr>
            <w:rStyle w:val="Hyperlink"/>
          </w:rPr>
          <w:t xml:space="preserve">sec.gov</w:t>
        </w:r>
      </w:hyperlink>
      <w:r>
        <w:t xml:space="preserve">)</w:t>
      </w:r>
    </w:p>
    <w:p>
      <w:r>
        <w:pict>
          <v:rect style="width:0;height:1.5pt" o:hralign="center" o:hrstd="t" o:hr="t"/>
        </w:pict>
      </w:r>
    </w:p>
    <w:bookmarkEnd w:id="21"/>
    <w:bookmarkEnd w:id="22"/>
    <w:bookmarkStart w:id="23" w:name="Xedeb3e8b8b6b50bd9ad09e91404d25836e6b0e2"/>
    <w:p>
      <w:pPr>
        <w:pStyle w:val="Heading2"/>
      </w:pPr>
      <w:r>
        <w:t xml:space="preserve">What would constitute a good or bad report?</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it might look like</w:t>
            </w:r>
          </w:p>
        </w:tc>
      </w:tr>
      <w:tr>
        <w:tc>
          <w:tcPr/>
          <w:p>
            <w:pPr>
              <w:pStyle w:val="Compact"/>
            </w:pPr>
            <w:r>
              <w:rPr>
                <w:b/>
                <w:bCs/>
              </w:rPr>
              <w:t xml:space="preserve">Bullish</w:t>
            </w:r>
          </w:p>
        </w:tc>
        <w:tc>
          <w:tcPr/>
          <w:p>
            <w:pPr>
              <w:pStyle w:val="Compact"/>
            </w:pPr>
            <w:r>
              <w:t xml:space="preserve">Revenue above roughly $1.4B; subscription and services in the upper half of guidance; spot weakness offset by derivatives and prediction markets; adjusted EBITDA comfortably positive; strong July transaction revenue; full-year expense guidance maintained or lowered.</w:t>
            </w:r>
          </w:p>
        </w:tc>
      </w:tr>
      <w:tr>
        <w:tc>
          <w:tcPr/>
          <w:p>
            <w:pPr>
              <w:pStyle w:val="Compact"/>
            </w:pPr>
            <w:r>
              <w:rPr>
                <w:b/>
                <w:bCs/>
              </w:rPr>
              <w:t xml:space="preserve">Base case</w:t>
            </w:r>
          </w:p>
        </w:tc>
        <w:tc>
          <w:tcPr/>
          <w:p>
            <w:pPr>
              <w:pStyle w:val="Compact"/>
            </w:pPr>
            <w:r>
              <w:t xml:space="preserve">Revenue around</w:t>
            </w:r>
            <w:r>
              <w:t xml:space="preserve"> </w:t>
            </w:r>
            <m:oMath>
              <m:r>
                <m:t>1.35</m:t>
              </m:r>
              <m:r>
                <m:t>B</m:t>
              </m:r>
              <m:r>
                <m:rPr>
                  <m:sty m:val="p"/>
                </m:rPr>
                <m:t>–</m:t>
              </m:r>
            </m:oMath>
            <w:r>
              <w:t xml:space="preserve">1.40B; transaction revenue down sequentially; subscription and services near the midpoint; cost guidance achieved; adjusted EBITDA positive but lower; limited change to the second-half outlook.</w:t>
            </w:r>
          </w:p>
        </w:tc>
      </w:tr>
      <w:tr>
        <w:tc>
          <w:tcPr/>
          <w:p>
            <w:pPr>
              <w:pStyle w:val="Compact"/>
            </w:pPr>
            <w:r>
              <w:rPr>
                <w:b/>
                <w:bCs/>
              </w:rPr>
              <w:t xml:space="preserve">Bearish</w:t>
            </w:r>
          </w:p>
        </w:tc>
        <w:tc>
          <w:tcPr/>
          <w:p>
            <w:pPr>
              <w:pStyle w:val="Compact"/>
            </w:pPr>
            <w:r>
              <w:t xml:space="preserve">Revenue below roughly $1.3B; subscription and services near or below the low end; derivatives fail to offset spot weakness; realized fees compress; expenses exceed guidance; weak July activity or reduced confidence in the full-year cost plan.</w:t>
            </w:r>
          </w:p>
        </w:tc>
      </w:tr>
    </w:tbl>
    <w:p>
      <w:r>
        <w:pict>
          <v:rect style="width:0;height:1.5pt" o:hralign="center" o:hrstd="t" o:hr="t"/>
        </w:pict>
      </w:r>
    </w:p>
    <w:bookmarkEnd w:id="23"/>
    <w:bookmarkStart w:id="24" w:name="questions-management-should-answer"/>
    <w:p>
      <w:pPr>
        <w:pStyle w:val="Heading2"/>
      </w:pPr>
      <w:r>
        <w:t xml:space="preserve">Questions management should answer</w:t>
      </w:r>
    </w:p>
    <w:p>
      <w:pPr>
        <w:pStyle w:val="Compact"/>
        <w:numPr>
          <w:ilvl w:val="0"/>
          <w:numId w:val="1008"/>
        </w:numPr>
      </w:pPr>
      <w:r>
        <w:rPr>
          <w:b/>
          <w:bCs/>
        </w:rPr>
        <w:t xml:space="preserve">What was Q2 total trading volume, and how much came from spot versus derivatives?</w:t>
      </w:r>
    </w:p>
    <w:p>
      <w:pPr>
        <w:pStyle w:val="Compact"/>
        <w:numPr>
          <w:ilvl w:val="0"/>
          <w:numId w:val="1008"/>
        </w:numPr>
      </w:pPr>
      <w:r>
        <w:rPr>
          <w:b/>
          <w:bCs/>
        </w:rPr>
        <w:t xml:space="preserve">Did Coinbase retain its record trading-volume market share?</w:t>
      </w:r>
    </w:p>
    <w:p>
      <w:pPr>
        <w:pStyle w:val="Compact"/>
        <w:numPr>
          <w:ilvl w:val="0"/>
          <w:numId w:val="1008"/>
        </w:numPr>
      </w:pPr>
      <w:r>
        <w:rPr>
          <w:b/>
          <w:bCs/>
        </w:rPr>
        <w:t xml:space="preserve">What are the current annualized revenue rates for retail derivatives and prediction markets?</w:t>
      </w:r>
    </w:p>
    <w:p>
      <w:pPr>
        <w:pStyle w:val="Compact"/>
        <w:numPr>
          <w:ilvl w:val="0"/>
          <w:numId w:val="1008"/>
        </w:numPr>
      </w:pPr>
      <w:r>
        <w:rPr>
          <w:b/>
          <w:bCs/>
        </w:rPr>
        <w:t xml:space="preserve">How much of prediction-market activity is incremental to existing customer trading?</w:t>
      </w:r>
    </w:p>
    <w:p>
      <w:pPr>
        <w:pStyle w:val="Compact"/>
        <w:numPr>
          <w:ilvl w:val="0"/>
          <w:numId w:val="1008"/>
        </w:numPr>
      </w:pPr>
      <w:r>
        <w:rPr>
          <w:b/>
          <w:bCs/>
        </w:rPr>
        <w:t xml:space="preserve">What was average USDC held in Coinbase products, and how did customer rewards affect margins?</w:t>
      </w:r>
    </w:p>
    <w:p>
      <w:pPr>
        <w:pStyle w:val="Compact"/>
        <w:numPr>
          <w:ilvl w:val="0"/>
          <w:numId w:val="1008"/>
        </w:numPr>
      </w:pPr>
      <w:r>
        <w:rPr>
          <w:b/>
          <w:bCs/>
        </w:rPr>
        <w:t xml:space="preserve">What transaction revenue has Coinbase generated so far in Q3?</w:t>
      </w:r>
    </w:p>
    <w:p>
      <w:pPr>
        <w:pStyle w:val="Compact"/>
        <w:numPr>
          <w:ilvl w:val="0"/>
          <w:numId w:val="1008"/>
        </w:numPr>
      </w:pPr>
      <w:r>
        <w:rPr>
          <w:b/>
          <w:bCs/>
        </w:rPr>
        <w:t xml:space="preserve">Are the</w:t>
      </w:r>
      <w:r>
        <w:rPr>
          <w:b/>
          <w:bCs/>
        </w:rPr>
        <w:t xml:space="preserve"> </w:t>
      </w:r>
      <m:oMath>
        <m:r>
          <m:t>4.25</m:t>
        </m:r>
        <m:r>
          <m:rPr>
            <m:sty m:val="p"/>
          </m:rPr>
          <m:t>–</m:t>
        </m:r>
      </m:oMath>
      <w:r>
        <w:rPr>
          <w:b/>
          <w:bCs/>
        </w:rPr>
        <w:t xml:space="preserve">4.60 billion full-year adjusted-expense targets unchanged?</w:t>
      </w:r>
    </w:p>
    <w:p>
      <w:pPr>
        <w:pStyle w:val="Compact"/>
        <w:numPr>
          <w:ilvl w:val="0"/>
          <w:numId w:val="1008"/>
        </w:numPr>
      </w:pPr>
      <w:r>
        <w:rPr>
          <w:b/>
          <w:bCs/>
        </w:rPr>
        <w:t xml:space="preserve">How much of the restructuring benefit will be visible in Q3 versus Q4?</w:t>
      </w:r>
    </w:p>
    <w:p>
      <w:pPr>
        <w:pStyle w:val="Compact"/>
        <w:numPr>
          <w:ilvl w:val="0"/>
          <w:numId w:val="1008"/>
        </w:numPr>
      </w:pPr>
      <w:r>
        <w:rPr>
          <w:b/>
          <w:bCs/>
        </w:rPr>
        <w:t xml:space="preserve">What remains to complete the Deribit integration, particularly for U.S. customers?</w:t>
      </w:r>
    </w:p>
    <w:p>
      <w:pPr>
        <w:pStyle w:val="Compact"/>
        <w:numPr>
          <w:ilvl w:val="0"/>
          <w:numId w:val="1008"/>
        </w:numPr>
      </w:pPr>
      <w:r>
        <w:rPr>
          <w:b/>
          <w:bCs/>
        </w:rPr>
        <w:t xml:space="preserve">How will the legal leadership transition affect Coinbase’s regulatory strategy?</w:t>
      </w:r>
    </w:p>
    <w:p>
      <w:r>
        <w:pict>
          <v:rect style="width:0;height:1.5pt" o:hralign="center" o:hrstd="t" o:hr="t"/>
        </w:pict>
      </w:r>
    </w:p>
    <w:bookmarkEnd w:id="24"/>
    <w:bookmarkStart w:id="26" w:name="bottom-line"/>
    <w:p>
      <w:pPr>
        <w:pStyle w:val="Heading2"/>
      </w:pPr>
      <w:r>
        <w:t xml:space="preserve">Bottom line</w:t>
      </w:r>
    </w:p>
    <w:p>
      <w:pPr>
        <w:pStyle w:val="FirstParagraph"/>
      </w:pPr>
      <w:r>
        <w:t xml:space="preserve">This is a</w:t>
      </w:r>
      <w:r>
        <w:t xml:space="preserve"> </w:t>
      </w:r>
      <w:r>
        <w:rPr>
          <w:b/>
          <w:bCs/>
        </w:rPr>
        <w:t xml:space="preserve">low-expectations trading print but a meaningful diversification test</w:t>
      </w:r>
      <w:r>
        <w:t xml:space="preserve">.</w:t>
      </w:r>
    </w:p>
    <w:p>
      <w:pPr>
        <w:pStyle w:val="BodyText"/>
      </w:pPr>
      <w:r>
        <w:t xml:space="preserve">A simple revenue beat driven by volatile crypto marks or a temporary improvement in spot trading would be less valuable than evidence that:</w:t>
      </w:r>
    </w:p>
    <w:p>
      <w:pPr>
        <w:pStyle w:val="Compact"/>
        <w:numPr>
          <w:ilvl w:val="0"/>
          <w:numId w:val="1009"/>
        </w:numPr>
      </w:pPr>
      <w:r>
        <w:t xml:space="preserve">USDC balances are growing,</w:t>
      </w:r>
    </w:p>
    <w:p>
      <w:pPr>
        <w:pStyle w:val="Compact"/>
        <w:numPr>
          <w:ilvl w:val="0"/>
          <w:numId w:val="1009"/>
        </w:numPr>
      </w:pPr>
      <w:r>
        <w:t xml:space="preserve">derivatives and prediction markets are scaling,</w:t>
      </w:r>
    </w:p>
    <w:p>
      <w:pPr>
        <w:pStyle w:val="Compact"/>
        <w:numPr>
          <w:ilvl w:val="0"/>
          <w:numId w:val="1009"/>
        </w:numPr>
      </w:pPr>
      <w:r>
        <w:t xml:space="preserve">market share remains high,</w:t>
      </w:r>
    </w:p>
    <w:p>
      <w:pPr>
        <w:pStyle w:val="Compact"/>
        <w:numPr>
          <w:ilvl w:val="0"/>
          <w:numId w:val="1009"/>
        </w:numPr>
      </w:pPr>
      <w:r>
        <w:t xml:space="preserve">costs are falling as promised, and</w:t>
      </w:r>
    </w:p>
    <w:p>
      <w:pPr>
        <w:pStyle w:val="Compact"/>
        <w:numPr>
          <w:ilvl w:val="0"/>
          <w:numId w:val="1009"/>
        </w:numPr>
      </w:pPr>
      <w:r>
        <w:t xml:space="preserve">July trends point toward sequential improvement.</w:t>
      </w:r>
    </w:p>
    <w:p>
      <w:pPr>
        <w:pStyle w:val="FirstParagraph"/>
      </w:pPr>
      <w:r>
        <w:t xml:space="preserve">Conversely, if subscription revenue weakens, new products lose momentum and costs fail to decline, the report would raise questions about whether Coinbase has actually reduced its dependence on the crypto trading cycle.</w:t>
      </w:r>
    </w:p>
    <w:p>
      <w:pPr>
        <w:pStyle w:val="BodyText"/>
      </w:pPr>
      <w:r>
        <w:t xml:space="preserve">The highest-quality bullish result would be</w:t>
      </w:r>
      <w:r>
        <w:t xml:space="preserve"> </w:t>
      </w:r>
      <w:r>
        <w:rPr>
          <w:b/>
          <w:bCs/>
        </w:rPr>
        <w:t xml:space="preserve">stable or improving underlying revenue despite weak spot conditions, accompanied by positive adjusted EBITDA and constructive Q3 commentary</w:t>
      </w:r>
      <w:r>
        <w:t xml:space="preserve">.</w:t>
      </w:r>
    </w:p>
    <w:bookmarkStart w:id="25" w:name="sources"/>
    <w:p>
      <w:pPr>
        <w:pStyle w:val="Heading3"/>
      </w:pPr>
      <w:r>
        <w:t xml:space="preserve">Sources</w:t>
      </w:r>
    </w:p>
    <w:p>
      <w:pPr>
        <w:pStyle w:val="Compact"/>
        <w:numPr>
          <w:ilvl w:val="0"/>
          <w:numId w:val="1010"/>
        </w:numPr>
      </w:pPr>
      <w:r>
        <w:t xml:space="preserve">(</w:t>
      </w:r>
      <w:hyperlink r:id="rId12">
        <w:r>
          <w:rPr>
            <w:rStyle w:val="Hyperlink"/>
          </w:rPr>
          <w:t xml:space="preserve">sec.gov</w:t>
        </w:r>
      </w:hyperlink>
      <w:r>
        <w:t xml:space="preserve">)</w:t>
      </w:r>
    </w:p>
    <w:p>
      <w:pPr>
        <w:pStyle w:val="Compact"/>
        <w:numPr>
          <w:ilvl w:val="0"/>
          <w:numId w:val="1010"/>
        </w:numPr>
      </w:pPr>
      <w:r>
        <w:t xml:space="preserve">(</w:t>
      </w:r>
      <w:hyperlink r:id="rId13">
        <w:r>
          <w:rPr>
            <w:rStyle w:val="Hyperlink"/>
          </w:rPr>
          <w:t xml:space="preserve">investor.coinbase.com</w:t>
        </w:r>
      </w:hyperlink>
      <w:r>
        <w:t xml:space="preserve">)</w:t>
      </w:r>
    </w:p>
    <w:p>
      <w:pPr>
        <w:pStyle w:val="Compact"/>
        <w:numPr>
          <w:ilvl w:val="0"/>
          <w:numId w:val="1010"/>
        </w:numPr>
      </w:pPr>
      <w:r>
        <w:t xml:space="preserve">(</w:t>
      </w:r>
      <w:hyperlink r:id="rId9">
        <w:r>
          <w:rPr>
            <w:rStyle w:val="Hyperlink"/>
          </w:rPr>
          <w:t xml:space="preserve">investor.coinbase.com</w:t>
        </w:r>
      </w:hyperlink>
      <w:r>
        <w:t xml:space="preserve">)</w:t>
      </w:r>
    </w:p>
    <w:p>
      <w:pPr>
        <w:pStyle w:val="Compact"/>
        <w:numPr>
          <w:ilvl w:val="0"/>
          <w:numId w:val="1010"/>
        </w:numPr>
      </w:pPr>
      <w:r>
        <w:t xml:space="preserve">(</w:t>
      </w:r>
      <w:hyperlink r:id="rId20">
        <w:r>
          <w:rPr>
            <w:rStyle w:val="Hyperlink"/>
          </w:rPr>
          <w:t xml:space="preserve">sec.gov</w:t>
        </w:r>
      </w:hyperlink>
      <w:r>
        <w:t xml:space="preserve">)</w:t>
      </w:r>
    </w:p>
    <w:p>
      <w:pPr>
        <w:pStyle w:val="Compact"/>
        <w:numPr>
          <w:ilvl w:val="0"/>
          <w:numId w:val="1010"/>
        </w:numPr>
      </w:pPr>
      <w:r>
        <w:t xml:space="preserve">(</w:t>
      </w:r>
      <w:hyperlink r:id="rId10">
        <w:r>
          <w:rPr>
            <w:rStyle w:val="Hyperlink"/>
          </w:rPr>
          <w:t xml:space="preserve">bitmex.com</w:t>
        </w:r>
      </w:hyperlink>
      <w:r>
        <w:t xml:space="preserve">)</w:t>
      </w:r>
    </w:p>
    <w:bookmarkEnd w:id="25"/>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https://investor.coinbase.com/news/news-details/2026/Coinbase-Announces-Date-of-Second-Quarter-2026-Financial-Results/default.aspx?utm_source=openai" TargetMode="External" /><Relationship Type="http://schemas.openxmlformats.org/officeDocument/2006/relationships/hyperlink" Id="rId13" Target="https://investor.coinbase.com/news/news-details/2026/Coinbase-Q1-Financial-Results-Show-Resilient-Financial-Performance-Driven-by-New-All-Time-High-Crypto-Trading-Volume-Market-Share/default.aspx" TargetMode="External" /><Relationship Type="http://schemas.openxmlformats.org/officeDocument/2006/relationships/hyperlink" Id="rId10" Target="https://www.bitmex.com/blog/earnings-watch-q2-2026" TargetMode="External" /><Relationship Type="http://schemas.openxmlformats.org/officeDocument/2006/relationships/hyperlink" Id="rId20" Target="https://www.sec.gov/Archives/edgar/data/1679788/000119312526299667/d74758d8k.htm?utm_source=openai" TargetMode="External" /><Relationship Type="http://schemas.openxmlformats.org/officeDocument/2006/relationships/hyperlink" Id="rId12" Target="https://www.sec.gov/Archives/edgar/data/1679788/000167978826000053/q126earningsdeck-finalse.htm" TargetMode="External" /></Relationships>
</file>

<file path=word/_rels/footnotes.xml.rels><?xml version="1.0" encoding="UTF-8"?><Relationships xmlns="http://schemas.openxmlformats.org/package/2006/relationships"><Relationship Type="http://schemas.openxmlformats.org/officeDocument/2006/relationships/hyperlink" Id="rId9" Target="https://investor.coinbase.com/news/news-details/2026/Coinbase-Announces-Date-of-Second-Quarter-2026-Financial-Results/default.aspx?utm_source=openai" TargetMode="External" /><Relationship Type="http://schemas.openxmlformats.org/officeDocument/2006/relationships/hyperlink" Id="rId13" Target="https://investor.coinbase.com/news/news-details/2026/Coinbase-Q1-Financial-Results-Show-Resilient-Financial-Performance-Driven-by-New-All-Time-High-Crypto-Trading-Volume-Market-Share/default.aspx" TargetMode="External" /><Relationship Type="http://schemas.openxmlformats.org/officeDocument/2006/relationships/hyperlink" Id="rId10" Target="https://www.bitmex.com/blog/earnings-watch-q2-2026" TargetMode="External" /><Relationship Type="http://schemas.openxmlformats.org/officeDocument/2006/relationships/hyperlink" Id="rId20" Target="https://www.sec.gov/Archives/edgar/data/1679788/000119312526299667/d74758d8k.htm?utm_source=openai" TargetMode="External" /><Relationship Type="http://schemas.openxmlformats.org/officeDocument/2006/relationships/hyperlink" Id="rId12" Target="https://www.sec.gov/Archives/edgar/data/1679788/000167978826000053/q126earningsdeck-finalse.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2026-07-29T19:24:20Z</dcterms:created>
  <dcterms:modified xsi:type="dcterms:W3CDTF">2026-07-29T19:24:20Z</dcterms:modified>
</cp:coreProperties>
</file>

<file path=docProps/custom.xml><?xml version="1.0" encoding="utf-8"?>
<Properties xmlns="http://schemas.openxmlformats.org/officeDocument/2006/custom-properties" xmlns:vt="http://schemas.openxmlformats.org/officeDocument/2006/docPropsVTypes"/>
</file>