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coinbase-coin-q2-2026-earnings-preview"/>
    <w:p>
      <w:pPr>
        <w:pStyle w:val="Heading1"/>
      </w:pPr>
      <w:r>
        <w:t xml:space="preserve">Coinbase (COIN) Q2 2026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Q2 2026 Earnings Call</w:t>
      </w:r>
      <w:r>
        <w:br/>
      </w:r>
      <w:r>
        <w:rPr>
          <w:b/>
          <w:bCs/>
        </w:rPr>
        <w:t xml:space="preserve">Data cutoff:</w:t>
      </w:r>
      <w:r>
        <w:t xml:space="preserve"> </w:t>
      </w:r>
      <w:r>
        <w:t xml:space="preserve">July 29, 2026 close</w:t>
      </w:r>
    </w:p>
    <w:bookmarkStart w:id="9" w:name="investment-framing"/>
    <w:p>
      <w:pPr>
        <w:pStyle w:val="Heading2"/>
      </w:pPr>
      <w:r>
        <w:t xml:space="preserve">Investment framing</w:t>
      </w:r>
    </w:p>
    <w:p>
      <w:pPr>
        <w:pStyle w:val="FirstParagraph"/>
      </w:pPr>
      <w:r>
        <w:t xml:space="preserve">Coinbase enters Q2 earnings with a familiar near-term tension:</w:t>
      </w:r>
      <w:r>
        <w:t xml:space="preserve"> </w:t>
      </w:r>
      <w:r>
        <w:rPr>
          <w:b/>
          <w:bCs/>
        </w:rPr>
        <w:t xml:space="preserve">core crypto trading conditions appear weak, while the company’s newer products, stablecoin economics, market-share gains, and cost actions could cushion the earnings impact.</w:t>
      </w:r>
    </w:p>
    <w:p>
      <w:pPr>
        <w:pStyle w:val="BodyText"/>
      </w:pPr>
      <w:r>
        <w:t xml:space="preserve">The central question is not simply whether Coinbase beats or misses on headline revenue. Investors will be judging whether the company can demonstrate that its earnings base is becoming less dependent on spot-crypto volatility:</w:t>
      </w:r>
    </w:p>
    <w:p>
      <w:pPr>
        <w:pStyle w:val="Compact"/>
        <w:numPr>
          <w:ilvl w:val="0"/>
          <w:numId w:val="1001"/>
        </w:numPr>
      </w:pPr>
      <w:r>
        <w:rPr>
          <w:b/>
          <w:bCs/>
        </w:rPr>
        <w:t xml:space="preserve">Can transaction revenue hold up better than industry volumes?</w:t>
      </w:r>
    </w:p>
    <w:p>
      <w:pPr>
        <w:pStyle w:val="Compact"/>
        <w:numPr>
          <w:ilvl w:val="0"/>
          <w:numId w:val="1001"/>
        </w:numPr>
      </w:pPr>
      <w:r>
        <w:rPr>
          <w:b/>
          <w:bCs/>
        </w:rPr>
        <w:t xml:space="preserve">Did stablecoin/subscription revenue remain within Coinbase’s</w:t>
      </w:r>
      <w:r>
        <w:rPr>
          <w:b/>
          <w:bCs/>
        </w:rPr>
        <w:t xml:space="preserve"> </w:t>
      </w:r>
      <m:oMath>
        <m:r>
          <m:t>565</m:t>
        </m:r>
        <m:r>
          <m:rPr>
            <m:sty m:val="p"/>
          </m:rPr>
          <m:t>–</m:t>
        </m:r>
      </m:oMath>
      <w:r>
        <w:rPr>
          <w:b/>
          <w:bCs/>
        </w:rPr>
        <w:t xml:space="preserve">645 million guide despite crypto-price and rate sensitivity?</w:t>
      </w:r>
    </w:p>
    <w:p>
      <w:pPr>
        <w:pStyle w:val="Compact"/>
        <w:numPr>
          <w:ilvl w:val="0"/>
          <w:numId w:val="1001"/>
        </w:numPr>
      </w:pPr>
      <w:r>
        <w:rPr>
          <w:b/>
          <w:bCs/>
        </w:rPr>
        <w:t xml:space="preserve">Are the new “Everything Exchange” products—derivatives, prediction markets, commodities, and eventually options—becoming material enough to offset softer spot activity?</w:t>
      </w:r>
    </w:p>
    <w:p>
      <w:pPr>
        <w:pStyle w:val="Compact"/>
        <w:numPr>
          <w:ilvl w:val="0"/>
          <w:numId w:val="1001"/>
        </w:numPr>
      </w:pPr>
      <w:r>
        <w:rPr>
          <w:b/>
          <w:bCs/>
        </w:rPr>
        <w:t xml:space="preserve">Did the company execute its restructuring and AI-native efficiency plan without impairing product velocity or risk controls?</w:t>
      </w:r>
    </w:p>
    <w:p>
      <w:pPr>
        <w:pStyle w:val="Compact"/>
        <w:numPr>
          <w:ilvl w:val="0"/>
          <w:numId w:val="1001"/>
        </w:numPr>
      </w:pPr>
      <w:r>
        <w:rPr>
          <w:b/>
          <w:bCs/>
        </w:rPr>
        <w:t xml:space="preserve">Does management’s outlook imply a better or worse setup for the second half?</w:t>
      </w:r>
    </w:p>
    <w:p>
      <w:pPr>
        <w:pStyle w:val="FirstParagraph"/>
      </w:pPr>
      <w:r>
        <w:t xml:space="preserve">My read: expectations look cautious on the near-term trading print, but the stock’s reaction is likely to hinge on the</w:t>
      </w:r>
      <w:r>
        <w:t xml:space="preserve"> </w:t>
      </w:r>
      <w:r>
        <w:rPr>
          <w:b/>
          <w:bCs/>
        </w:rPr>
        <w:t xml:space="preserve">quality of revenue mix, expense discipline, and forward commentary</w:t>
      </w:r>
      <w:r>
        <w:t xml:space="preserve">, rather than the GAAP net-income figure.</w:t>
      </w:r>
    </w:p>
    <w:p>
      <w:r>
        <w:pict>
          <v:rect style="width:0;height:1.5pt" o:hralign="center" o:hrstd="t" o:hr="t"/>
        </w:pict>
      </w:r>
    </w:p>
    <w:bookmarkEnd w:id="9"/>
    <w:bookmarkStart w:id="10" w:name="Xbfddb69b0c412a57703eb433a010174f8282289"/>
    <w:p>
      <w:pPr>
        <w:pStyle w:val="Heading2"/>
      </w:pPr>
      <w:r>
        <w:t xml:space="preserve">The setup: trading looks soft, but the business has more buffers than in prior cycles</w:t>
      </w:r>
    </w:p>
    <w:p>
      <w:pPr>
        <w:pStyle w:val="FirstParagraph"/>
      </w:pPr>
      <w:r>
        <w:t xml:space="preserve">Reports ahead of earnings have pointed to the possibility that Coinbase’s trading volume declined for a</w:t>
      </w:r>
      <w:r>
        <w:t xml:space="preserve"> </w:t>
      </w:r>
      <w:r>
        <w:rPr>
          <w:b/>
          <w:bCs/>
        </w:rPr>
        <w:t xml:space="preserve">third consecutive quarter</w:t>
      </w:r>
      <w:r>
        <w:t xml:space="preserve">, reflecting subdued crypto-market activity. That would be consistent with the concern raised earlier in the quarter by Baird, which cited weak trading volumes and a slow recovery in crypto activity as risks to Q2 revenue.</w:t>
      </w:r>
    </w:p>
    <w:p>
      <w:pPr>
        <w:pStyle w:val="BodyText"/>
      </w:pPr>
      <w:r>
        <w:t xml:space="preserve">This is the principal near-term risk because transaction revenue remains Coinbase’s most cyclical revenue stream. In Q1, transaction revenue was</w:t>
      </w:r>
      <w:r>
        <w:t xml:space="preserve"> </w:t>
      </w:r>
      <m:oMath>
        <m:r>
          <m:t>756</m:t>
        </m:r>
        <m:r>
          <m:t>m</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567 million</w:t>
      </w:r>
      <w:r>
        <w:t xml:space="preserve"> </w:t>
      </w:r>
      <w:r>
        <w:t xml:space="preserve">from consumers and</w:t>
      </w:r>
      <w:r>
        <w:t xml:space="preserve"> </w:t>
      </w:r>
      <w:r>
        <w:rPr>
          <w:b/>
          <w:bCs/>
        </w:rPr>
        <w:t xml:space="preserve">$136 million</w:t>
      </w:r>
      <w:r>
        <w:t xml:space="preserve"> </w:t>
      </w:r>
      <w:r>
        <w:t xml:space="preserve">from institutions. Consumer spot volume fell 35% quarter over quarter in Q1, although Coinbase’s consumer transaction revenue declined a more modest 23%, aided by mix and newer products.</w:t>
      </w:r>
    </w:p>
    <w:p>
      <w:pPr>
        <w:pStyle w:val="BodyText"/>
      </w:pPr>
      <w:r>
        <w:t xml:space="preserve">The important offset is that Coinbase has spent the past several quarters diversifying:</w:t>
      </w:r>
    </w:p>
    <w:p>
      <w:pPr>
        <w:pStyle w:val="Compact"/>
        <w:numPr>
          <w:ilvl w:val="0"/>
          <w:numId w:val="1002"/>
        </w:numPr>
      </w:pPr>
      <w:r>
        <w:rPr>
          <w:b/>
          <w:bCs/>
        </w:rPr>
        <w:t xml:space="preserve">Subscription and services revenue</w:t>
      </w:r>
      <w:r>
        <w:t xml:space="preserve"> </w:t>
      </w:r>
      <w:r>
        <w:t xml:space="preserve">was</w:t>
      </w:r>
      <w:r>
        <w:t xml:space="preserve"> </w:t>
      </w:r>
      <w:r>
        <w:rPr>
          <w:b/>
          <w:bCs/>
        </w:rPr>
        <w:t xml:space="preserve">$584 million</w:t>
      </w:r>
      <w:r>
        <w:t xml:space="preserve"> </w:t>
      </w:r>
      <w:r>
        <w:t xml:space="preserve">in Q1, or 44% of net revenue.</w:t>
      </w:r>
    </w:p>
    <w:p>
      <w:pPr>
        <w:pStyle w:val="Compact"/>
        <w:numPr>
          <w:ilvl w:val="0"/>
          <w:numId w:val="1002"/>
        </w:numPr>
      </w:pPr>
      <w:r>
        <w:rPr>
          <w:b/>
          <w:bCs/>
        </w:rPr>
        <w:t xml:space="preserve">Stablecoin revenue</w:t>
      </w:r>
      <w:r>
        <w:t xml:space="preserve"> </w:t>
      </w:r>
      <w:r>
        <w:t xml:space="preserve">was</w:t>
      </w:r>
      <w:r>
        <w:t xml:space="preserve"> </w:t>
      </w:r>
      <m:oMath>
        <m:r>
          <m:t>305</m:t>
        </m:r>
        <m:r>
          <m:t>m</m:t>
        </m:r>
        <m:r>
          <m:t>i</m:t>
        </m:r>
        <m:r>
          <m:t>l</m:t>
        </m:r>
        <m:r>
          <m:t>l</m:t>
        </m:r>
        <m:r>
          <m:t>i</m:t>
        </m:r>
        <m:r>
          <m:t>o</m:t>
        </m:r>
        <m:r>
          <m:t>n</m:t>
        </m:r>
        <m:r>
          <m:rPr>
            <m:sty m:val="p"/>
          </m:rPr>
          <m:t>*</m:t>
        </m:r>
        <m:r>
          <m:rPr>
            <m:sty m:val="p"/>
          </m:rPr>
          <m:t>*</m:t>
        </m:r>
        <m:r>
          <m:rPr>
            <m:sty m:val="p"/>
          </m:rPr>
          <m:t>,</m:t>
        </m:r>
        <m:r>
          <m:t>s</m:t>
        </m:r>
        <m:r>
          <m:t>u</m:t>
        </m:r>
        <m:r>
          <m:t>p</m:t>
        </m:r>
        <m:r>
          <m:t>p</m:t>
        </m:r>
        <m:r>
          <m:t>o</m:t>
        </m:r>
        <m:r>
          <m:t>r</m:t>
        </m:r>
        <m:r>
          <m:t>t</m:t>
        </m:r>
        <m:r>
          <m:t>e</m:t>
        </m:r>
        <m:r>
          <m:t>d</m:t>
        </m:r>
        <m:r>
          <m:t>b</m:t>
        </m:r>
        <m:r>
          <m:t>y</m:t>
        </m:r>
        <m:r>
          <m:t>a</m:t>
        </m:r>
        <m:r>
          <m:t>n</m:t>
        </m:r>
        <m:r>
          <m:t>a</m:t>
        </m:r>
        <m:r>
          <m:t>v</m:t>
        </m:r>
        <m:r>
          <m:t>e</m:t>
        </m:r>
        <m:r>
          <m:t>r</m:t>
        </m:r>
        <m:r>
          <m:t>a</m:t>
        </m:r>
        <m:r>
          <m:t>g</m:t>
        </m:r>
        <m:r>
          <m:t>e</m:t>
        </m:r>
        <m:r>
          <m:rPr>
            <m:sty m:val="p"/>
          </m:rPr>
          <m:t>*</m:t>
        </m:r>
        <m:r>
          <m:rPr>
            <m:sty m:val="p"/>
          </m:rPr>
          <m:t>*</m:t>
        </m:r>
      </m:oMath>
      <w:r>
        <w:rPr>
          <w:b/>
          <w:bCs/>
        </w:rPr>
        <w:t xml:space="preserve">19 billion</w:t>
      </w:r>
      <w:r>
        <w:t xml:space="preserve"> </w:t>
      </w:r>
      <w:r>
        <w:t xml:space="preserve">of USDC held in Coinbase products.</w:t>
      </w:r>
    </w:p>
    <w:p>
      <w:pPr>
        <w:pStyle w:val="Compact"/>
        <w:numPr>
          <w:ilvl w:val="0"/>
          <w:numId w:val="1002"/>
        </w:numPr>
      </w:pPr>
      <w:r>
        <w:t xml:space="preserve">Retail derivatives were running at</w:t>
      </w:r>
      <w:r>
        <w:t xml:space="preserve"> </w:t>
      </w:r>
      <w:r>
        <w:rPr>
          <w:b/>
          <w:bCs/>
        </w:rPr>
        <w:t xml:space="preserve">more than $200 million in annualized revenue</w:t>
      </w:r>
      <w:r>
        <w:t xml:space="preserve">.</w:t>
      </w:r>
    </w:p>
    <w:p>
      <w:pPr>
        <w:pStyle w:val="Compact"/>
        <w:numPr>
          <w:ilvl w:val="0"/>
          <w:numId w:val="1002"/>
        </w:numPr>
      </w:pPr>
      <w:r>
        <w:t xml:space="preserve">Prediction markets reached a</w:t>
      </w:r>
      <w:r>
        <w:t xml:space="preserve"> </w:t>
      </w:r>
      <w:r>
        <w:rPr>
          <w:b/>
          <w:bCs/>
        </w:rPr>
        <w:t xml:space="preserve">$100 million-plus annualized revenue run rate</w:t>
      </w:r>
      <w:r>
        <w:t xml:space="preserve"> </w:t>
      </w:r>
      <w:r>
        <w:t xml:space="preserve">in March, only a few months after launch.</w:t>
      </w:r>
    </w:p>
    <w:p>
      <w:pPr>
        <w:pStyle w:val="Compact"/>
        <w:numPr>
          <w:ilvl w:val="0"/>
          <w:numId w:val="1002"/>
        </w:numPr>
      </w:pPr>
      <w:r>
        <w:t xml:space="preserve">Coinbase reported</w:t>
      </w:r>
      <w:r>
        <w:t xml:space="preserve"> </w:t>
      </w:r>
      <w:r>
        <w:rPr>
          <w:b/>
          <w:bCs/>
        </w:rPr>
        <w:t xml:space="preserve">12 products</w:t>
      </w:r>
      <w:r>
        <w:t xml:space="preserve"> </w:t>
      </w:r>
      <w:r>
        <w:t xml:space="preserve">at more than $100 million of annualized revenue.</w:t>
      </w:r>
    </w:p>
    <w:p>
      <w:pPr>
        <w:pStyle w:val="FirstParagraph"/>
      </w:pPr>
      <w:r>
        <w:t xml:space="preserve">For Q2, the key debate is whether these offsets merely soften a weak trading quarter—or are now large enough to establish a structurally more durable revenue model.</w:t>
      </w:r>
    </w:p>
    <w:p>
      <w:r>
        <w:pict>
          <v:rect style="width:0;height:1.5pt" o:hralign="center" o:hrstd="t" o:hr="t"/>
        </w:pict>
      </w:r>
    </w:p>
    <w:bookmarkEnd w:id="10"/>
    <w:bookmarkStart w:id="11" w:name="what-coinbase-guided-for-q2"/>
    <w:p>
      <w:pPr>
        <w:pStyle w:val="Heading2"/>
      </w:pPr>
      <w:r>
        <w:t xml:space="preserve">What Coinbase guided for Q2</w:t>
      </w:r>
    </w:p>
    <w:p>
      <w:pPr>
        <w:pStyle w:val="FirstParagraph"/>
      </w:pPr>
      <w:r>
        <w:t xml:space="preserve">At Q1 earnings, Coinbase provided the following Q2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outlook</w:t>
            </w:r>
          </w:p>
        </w:tc>
      </w:tr>
      <w:tr>
        <w:tc>
          <w:tcPr/>
          <w:p>
            <w:pPr>
              <w:pStyle w:val="Compact"/>
            </w:pPr>
            <w:r>
              <w:t xml:space="preserve">Subscription &amp; services revenue</w:t>
            </w:r>
          </w:p>
        </w:tc>
        <w:tc>
          <w:tcPr/>
          <w:p>
            <w:pPr>
              <w:pStyle w:val="Compact"/>
              <w:jc w:val="right"/>
            </w:pPr>
            <m:oMath>
              <m:r>
                <m:t>565</m:t>
              </m:r>
              <m:r>
                <m:t>M</m:t>
              </m:r>
              <m:r>
                <m:rPr>
                  <m:sty m:val="p"/>
                </m:rPr>
                <m:t>–</m:t>
              </m:r>
            </m:oMath>
            <w:r>
              <w:rPr>
                <w:b/>
                <w:bCs/>
              </w:rPr>
              <w:t xml:space="preserve">645M</w:t>
            </w:r>
          </w:p>
        </w:tc>
      </w:tr>
      <w:tr>
        <w:tc>
          <w:tcPr/>
          <w:p>
            <w:pPr>
              <w:pStyle w:val="Compact"/>
            </w:pPr>
            <w:r>
              <w:t xml:space="preserve">Transaction revenue</w:t>
            </w:r>
          </w:p>
        </w:tc>
        <w:tc>
          <w:tcPr/>
          <w:p>
            <w:pPr>
              <w:pStyle w:val="Compact"/>
              <w:jc w:val="right"/>
            </w:pPr>
            <w:r>
              <w:rPr>
                <w:b/>
                <w:bCs/>
              </w:rPr>
              <w:t xml:space="preserve">~$215M quarter-to-date through May 5</w:t>
            </w:r>
          </w:p>
        </w:tc>
      </w:tr>
      <w:tr>
        <w:tc>
          <w:tcPr/>
          <w:p>
            <w:pPr>
              <w:pStyle w:val="Compact"/>
            </w:pPr>
            <w:r>
              <w:t xml:space="preserve">Transaction expense</w:t>
            </w:r>
          </w:p>
        </w:tc>
        <w:tc>
          <w:tcPr/>
          <w:p>
            <w:pPr>
              <w:pStyle w:val="Compact"/>
              <w:jc w:val="right"/>
            </w:pPr>
            <w:r>
              <w:rPr>
                <w:b/>
                <w:bCs/>
              </w:rPr>
              <w:t xml:space="preserve">Low-to-mid teens % of net revenue</w:t>
            </w:r>
          </w:p>
        </w:tc>
      </w:tr>
      <w:tr>
        <w:tc>
          <w:tcPr/>
          <w:p>
            <w:pPr>
              <w:pStyle w:val="Compact"/>
            </w:pPr>
            <w:r>
              <w:t xml:space="preserve">Technology &amp; development + G&amp;A</w:t>
            </w:r>
          </w:p>
        </w:tc>
        <w:tc>
          <w:tcPr/>
          <w:p>
            <w:pPr>
              <w:pStyle w:val="Compact"/>
              <w:jc w:val="right"/>
            </w:pPr>
            <m:oMath>
              <m:r>
                <m:t>820</m:t>
              </m:r>
              <m:r>
                <m:t>M</m:t>
              </m:r>
              <m:r>
                <m:rPr>
                  <m:sty m:val="p"/>
                </m:rPr>
                <m:t>–</m:t>
              </m:r>
            </m:oMath>
            <w:r>
              <w:rPr>
                <w:b/>
                <w:bCs/>
              </w:rPr>
              <w:t xml:space="preserve">870M</w:t>
            </w:r>
          </w:p>
        </w:tc>
      </w:tr>
      <w:tr>
        <w:tc>
          <w:tcPr/>
          <w:p>
            <w:pPr>
              <w:pStyle w:val="Compact"/>
            </w:pPr>
            <w:r>
              <w:t xml:space="preserve">Sales &amp; marketing</w:t>
            </w:r>
          </w:p>
        </w:tc>
        <w:tc>
          <w:tcPr/>
          <w:p>
            <w:pPr>
              <w:pStyle w:val="Compact"/>
              <w:jc w:val="right"/>
            </w:pPr>
            <m:oMath>
              <m:r>
                <m:t>200</m:t>
              </m:r>
              <m:r>
                <m:t>M</m:t>
              </m:r>
              <m:r>
                <m:rPr>
                  <m:sty m:val="p"/>
                </m:rPr>
                <m:t>–</m:t>
              </m:r>
            </m:oMath>
            <w:r>
              <w:rPr>
                <w:b/>
                <w:bCs/>
              </w:rPr>
              <w:t xml:space="preserve">300M</w:t>
            </w:r>
          </w:p>
        </w:tc>
      </w:tr>
      <w:tr>
        <w:tc>
          <w:tcPr/>
          <w:p>
            <w:pPr>
              <w:pStyle w:val="Compact"/>
            </w:pPr>
            <w:r>
              <w:t xml:space="preserve">Stock-based compensation</w:t>
            </w:r>
          </w:p>
        </w:tc>
        <w:tc>
          <w:tcPr/>
          <w:p>
            <w:pPr>
              <w:pStyle w:val="Compact"/>
              <w:jc w:val="right"/>
            </w:pPr>
            <w:r>
              <w:rPr>
                <w:b/>
                <w:bCs/>
              </w:rPr>
              <w:t xml:space="preserve">~$240M</w:t>
            </w:r>
          </w:p>
        </w:tc>
      </w:tr>
      <w:tr>
        <w:tc>
          <w:tcPr/>
          <w:p>
            <w:pPr>
              <w:pStyle w:val="Compact"/>
            </w:pPr>
            <w:r>
              <w:t xml:space="preserve">Restructuring expense</w:t>
            </w:r>
          </w:p>
        </w:tc>
        <w:tc>
          <w:tcPr/>
          <w:p>
            <w:pPr>
              <w:pStyle w:val="Compact"/>
              <w:jc w:val="right"/>
            </w:pPr>
            <m:oMath>
              <m:r>
                <m:t>50</m:t>
              </m:r>
              <m:r>
                <m:t>M</m:t>
              </m:r>
              <m:r>
                <m:rPr>
                  <m:sty m:val="p"/>
                </m:rPr>
                <m:t>–</m:t>
              </m:r>
            </m:oMath>
            <w:r>
              <w:rPr>
                <w:b/>
                <w:bCs/>
              </w:rPr>
              <w:t xml:space="preserve">60M</w:t>
            </w:r>
          </w:p>
        </w:tc>
      </w:tr>
    </w:tbl>
    <w:p>
      <w:pPr>
        <w:pStyle w:val="BodyText"/>
      </w:pPr>
      <w:r>
        <w:t xml:space="preserve">The early transaction-revenue disclosure should not be extrapolated mechanically: it covered only the first portion of Q2 and Coinbase’s revenue is highly sensitive to changes in crypto prices, volatility, and trading activity. Still, it set a cautious tone.</w:t>
      </w:r>
    </w:p>
    <w:p>
      <w:pPr>
        <w:pStyle w:val="BodyText"/>
      </w:pPr>
      <w:r>
        <w:t xml:space="preserve">The expense guide is more consequential than usual. Coinbase announced a</w:t>
      </w:r>
      <w:r>
        <w:t xml:space="preserve"> </w:t>
      </w:r>
      <w:r>
        <w:rPr>
          <w:b/>
          <w:bCs/>
        </w:rPr>
        <w:t xml:space="preserve">14% headcount reduction</w:t>
      </w:r>
      <w:r>
        <w:t xml:space="preserve"> </w:t>
      </w:r>
      <w:r>
        <w:t xml:space="preserve">and framed the move as both a response to the market backdrop and part of its transition toward AI-native operations. The company targeted roughly</w:t>
      </w:r>
      <w:r>
        <w:t xml:space="preserve"> </w:t>
      </w:r>
      <w:r>
        <w:rPr>
          <w:b/>
          <w:bCs/>
        </w:rPr>
        <w:t xml:space="preserve">$500 million of cost reduction</w:t>
      </w:r>
      <w:r>
        <w:t xml:space="preserve"> </w:t>
      </w:r>
      <w:r>
        <w:t xml:space="preserve">relative to its Q4 2025 annualized expense run rate.</w:t>
      </w:r>
    </w:p>
    <w:p>
      <w:r>
        <w:pict>
          <v:rect style="width:0;height:1.5pt" o:hralign="center" o:hrstd="t" o:hr="t"/>
        </w:pict>
      </w:r>
    </w:p>
    <w:bookmarkEnd w:id="11"/>
    <w:bookmarkStart w:id="17" w:name="the-numbers-and-kpis-that-matter-most"/>
    <w:p>
      <w:pPr>
        <w:pStyle w:val="Heading2"/>
      </w:pPr>
      <w:r>
        <w:t xml:space="preserve">The numbers and KPIs that matter most</w:t>
      </w:r>
    </w:p>
    <w:bookmarkStart w:id="12" w:name="X6385f3da67635dae51593dfe414c5414f53f884"/>
    <w:p>
      <w:pPr>
        <w:pStyle w:val="Heading3"/>
      </w:pPr>
      <w:r>
        <w:t xml:space="preserve">1. Transaction revenue: the primary swing factor</w:t>
      </w:r>
    </w:p>
    <w:p>
      <w:pPr>
        <w:pStyle w:val="FirstParagraph"/>
      </w:pPr>
      <w:r>
        <w:t xml:space="preserve">Investors should focus on the split between:</w:t>
      </w:r>
    </w:p>
    <w:p>
      <w:pPr>
        <w:pStyle w:val="Compact"/>
        <w:numPr>
          <w:ilvl w:val="0"/>
          <w:numId w:val="1003"/>
        </w:numPr>
      </w:pPr>
      <w:r>
        <w:rPr>
          <w:b/>
          <w:bCs/>
        </w:rPr>
        <w:t xml:space="preserve">Consumer transaction revenue</w:t>
      </w:r>
    </w:p>
    <w:p>
      <w:pPr>
        <w:pStyle w:val="Compact"/>
        <w:numPr>
          <w:ilvl w:val="0"/>
          <w:numId w:val="1003"/>
        </w:numPr>
      </w:pPr>
      <w:r>
        <w:rPr>
          <w:b/>
          <w:bCs/>
        </w:rPr>
        <w:t xml:space="preserve">Institutional transaction revenue</w:t>
      </w:r>
    </w:p>
    <w:p>
      <w:pPr>
        <w:pStyle w:val="Compact"/>
        <w:numPr>
          <w:ilvl w:val="0"/>
          <w:numId w:val="1003"/>
        </w:numPr>
      </w:pPr>
      <w:r>
        <w:t xml:space="preserve">Contribution from</w:t>
      </w:r>
      <w:r>
        <w:t xml:space="preserve"> </w:t>
      </w:r>
      <w:r>
        <w:rPr>
          <w:b/>
          <w:bCs/>
        </w:rPr>
        <w:t xml:space="preserve">derivatives</w:t>
      </w:r>
      <w:r>
        <w:t xml:space="preserve">, prediction markets, and non-crypto contracts</w:t>
      </w:r>
    </w:p>
    <w:p>
      <w:pPr>
        <w:pStyle w:val="Compact"/>
        <w:numPr>
          <w:ilvl w:val="0"/>
          <w:numId w:val="1003"/>
        </w:numPr>
      </w:pPr>
      <w:r>
        <w:t xml:space="preserve">Coinbase’s trading-volume market share</w:t>
      </w:r>
    </w:p>
    <w:p>
      <w:pPr>
        <w:pStyle w:val="FirstParagraph"/>
      </w:pPr>
      <w:r>
        <w:t xml:space="preserve">Coinbase reached an all-time high in crypto trading market share in Q1 despite a down market. Maintaining—or extending—that share would be strategically important, even if absolute transaction revenue is down.</w:t>
      </w:r>
    </w:p>
    <w:p>
      <w:pPr>
        <w:pStyle w:val="BodyText"/>
      </w:pPr>
      <w:r>
        <w:t xml:space="preserve">A favorable result would be transaction revenue that holds up better than the broader crypto-volume backdrop, supported by retail derivatives and prediction markets. A weak result would be a sharper-than-expected decline in consumer activity, coupled with limited evidence that the newer products are offsetting the core spot-trading slowdown.</w:t>
      </w:r>
    </w:p>
    <w:bookmarkEnd w:id="12"/>
    <w:bookmarkStart w:id="13" w:name="Xc7ddbbbace77fcfdd696ce3dd7e40592c3b9a8c"/>
    <w:p>
      <w:pPr>
        <w:pStyle w:val="Heading3"/>
      </w:pPr>
      <w:r>
        <w:t xml:space="preserve">2. Stablecoin revenue and USDC balances</w:t>
      </w:r>
    </w:p>
    <w:p>
      <w:pPr>
        <w:pStyle w:val="FirstParagraph"/>
      </w:pPr>
      <w:r>
        <w:t xml:space="preserve">Stablecoin economics are Coinbase’s largest non-transaction-revenue contributor, but the line is exposed to two variables:</w:t>
      </w:r>
    </w:p>
    <w:p>
      <w:pPr>
        <w:pStyle w:val="Compact"/>
        <w:numPr>
          <w:ilvl w:val="0"/>
          <w:numId w:val="1004"/>
        </w:numPr>
      </w:pPr>
      <w:r>
        <w:rPr>
          <w:b/>
          <w:bCs/>
        </w:rPr>
        <w:t xml:space="preserve">USDC supply and balances held in Coinbase products</w:t>
      </w:r>
    </w:p>
    <w:p>
      <w:pPr>
        <w:pStyle w:val="Compact"/>
        <w:numPr>
          <w:ilvl w:val="0"/>
          <w:numId w:val="1004"/>
        </w:numPr>
      </w:pPr>
      <w:r>
        <w:rPr>
          <w:b/>
          <w:bCs/>
        </w:rPr>
        <w:t xml:space="preserve">Interest-rate levels and yield economics</w:t>
      </w:r>
    </w:p>
    <w:p>
      <w:pPr>
        <w:pStyle w:val="FirstParagraph"/>
      </w:pPr>
      <w:r>
        <w:t xml:space="preserve">In Q1, Coinbase’s average USDC held in products reached</w:t>
      </w:r>
      <w:r>
        <w:t xml:space="preserve"> </w:t>
      </w:r>
      <m:oMath>
        <m:r>
          <m:t>19</m:t>
        </m:r>
        <m:r>
          <m:t>b</m:t>
        </m:r>
        <m:r>
          <m:t>i</m:t>
        </m:r>
        <m:r>
          <m:t>l</m:t>
        </m:r>
        <m:r>
          <m:t>l</m:t>
        </m:r>
        <m:r>
          <m:t>i</m:t>
        </m:r>
        <m:r>
          <m:t>o</m:t>
        </m:r>
        <m:r>
          <m:t>n</m:t>
        </m:r>
        <m:r>
          <m:rPr>
            <m:sty m:val="p"/>
          </m:rPr>
          <m:t>*</m:t>
        </m:r>
        <m:r>
          <m:rPr>
            <m:sty m:val="p"/>
          </m:rPr>
          <m:t>*</m:t>
        </m:r>
        <m:r>
          <m:rPr>
            <m:sty m:val="p"/>
          </m:rPr>
          <m:t>,</m:t>
        </m:r>
        <m:r>
          <m:t>w</m:t>
        </m:r>
        <m:r>
          <m:t>h</m:t>
        </m:r>
        <m:r>
          <m:t>i</m:t>
        </m:r>
        <m:r>
          <m:t>l</m:t>
        </m:r>
        <m:r>
          <m:t>e</m:t>
        </m:r>
        <m:r>
          <m:t>s</m:t>
        </m:r>
        <m:r>
          <m:t>t</m:t>
        </m:r>
        <m:r>
          <m:t>a</m:t>
        </m:r>
        <m:r>
          <m:t>b</m:t>
        </m:r>
        <m:r>
          <m:t>l</m:t>
        </m:r>
        <m:r>
          <m:t>e</m:t>
        </m:r>
        <m:r>
          <m:t>c</m:t>
        </m:r>
        <m:r>
          <m:t>o</m:t>
        </m:r>
        <m:r>
          <m:t>i</m:t>
        </m:r>
        <m:r>
          <m:t>n</m:t>
        </m:r>
        <m:r>
          <m:t>r</m:t>
        </m:r>
        <m:r>
          <m:t>e</m:t>
        </m:r>
        <m:r>
          <m:t>v</m:t>
        </m:r>
        <m:r>
          <m:t>e</m:t>
        </m:r>
        <m:r>
          <m:t>n</m:t>
        </m:r>
        <m:r>
          <m:t>u</m:t>
        </m:r>
        <m:r>
          <m:t>e</m:t>
        </m:r>
        <m:r>
          <m:t>t</m:t>
        </m:r>
        <m:r>
          <m:t>o</m:t>
        </m:r>
        <m:r>
          <m:t>t</m:t>
        </m:r>
        <m:r>
          <m:t>a</m:t>
        </m:r>
        <m:r>
          <m:t>l</m:t>
        </m:r>
        <m:r>
          <m:t>e</m:t>
        </m:r>
        <m:r>
          <m:t>d</m:t>
        </m:r>
        <m:r>
          <m:rPr>
            <m:sty m:val="p"/>
          </m:rPr>
          <m:t>*</m:t>
        </m:r>
        <m:r>
          <m:rPr>
            <m:sty m:val="p"/>
          </m:rPr>
          <m:t>*</m:t>
        </m:r>
      </m:oMath>
      <w:r>
        <w:rPr>
          <w:b/>
          <w:bCs/>
        </w:rPr>
        <w:t xml:space="preserve">305 million</w:t>
      </w:r>
      <w:r>
        <w:t xml:space="preserve">. Management said it captures roughly half of total USDC economics through its Circle relationship.</w:t>
      </w:r>
    </w:p>
    <w:p>
      <w:pPr>
        <w:pStyle w:val="BodyText"/>
      </w:pPr>
      <w:r>
        <w:t xml:space="preserve">The key Q2 question is whether USDC balances continued to grow enough to offset pressure from average crypto-asset prices and any changes in rate-related economics. Commentary on USDC adoption, payments, Base, and institutional stablecoin use may be more valuable to the stock than a modest quarterly revenue variance.</w:t>
      </w:r>
    </w:p>
    <w:bookmarkEnd w:id="13"/>
    <w:bookmarkStart w:id="14" w:name="X93d3dc55c8dbe506ebb87c3484846551cc67a3d"/>
    <w:p>
      <w:pPr>
        <w:pStyle w:val="Heading3"/>
      </w:pPr>
      <w:r>
        <w:t xml:space="preserve">3. Expense execution and adjusted EBITDA</w:t>
      </w:r>
    </w:p>
    <w:p>
      <w:pPr>
        <w:pStyle w:val="FirstParagraph"/>
      </w:pPr>
      <w:r>
        <w:t xml:space="preserve">Coinbase generated</w:t>
      </w:r>
      <w:r>
        <w:t xml:space="preserve"> </w:t>
      </w:r>
      <w:r>
        <w:rPr>
          <w:b/>
          <w:bCs/>
        </w:rPr>
        <w:t xml:space="preserve">$303 million of adjusted EBITDA</w:t>
      </w:r>
      <w:r>
        <w:t xml:space="preserve"> </w:t>
      </w:r>
      <w:r>
        <w:t xml:space="preserve">in Q1, its 13th consecutive positive quarter by that measure, despite a $394 million GAAP net loss.</w:t>
      </w:r>
    </w:p>
    <w:p>
      <w:pPr>
        <w:pStyle w:val="BodyText"/>
      </w:pPr>
      <w:r>
        <w:t xml:space="preserve">For Q2, investors should emphasize:</w:t>
      </w:r>
    </w:p>
    <w:p>
      <w:pPr>
        <w:pStyle w:val="Compact"/>
        <w:numPr>
          <w:ilvl w:val="0"/>
          <w:numId w:val="1005"/>
        </w:numPr>
      </w:pPr>
      <w:r>
        <w:t xml:space="preserve">Whether T&amp;D plus G&amp;A land within or below the</w:t>
      </w:r>
      <w:r>
        <w:t xml:space="preserve"> </w:t>
      </w:r>
      <m:oMath>
        <m:r>
          <m:t>820</m:t>
        </m:r>
        <m:r>
          <m:rPr>
            <m:sty m:val="p"/>
          </m:rPr>
          <m:t>–</m:t>
        </m:r>
      </m:oMath>
      <w:r>
        <w:rPr>
          <w:b/>
          <w:bCs/>
        </w:rPr>
        <w:t xml:space="preserve">870 million</w:t>
      </w:r>
      <w:r>
        <w:t xml:space="preserve"> </w:t>
      </w:r>
      <w:r>
        <w:t xml:space="preserve">guide;</w:t>
      </w:r>
    </w:p>
    <w:p>
      <w:pPr>
        <w:pStyle w:val="Compact"/>
        <w:numPr>
          <w:ilvl w:val="0"/>
          <w:numId w:val="1005"/>
        </w:numPr>
      </w:pPr>
      <w:r>
        <w:t xml:space="preserve">Whether the announced restructuring produces the expected operating leverage;</w:t>
      </w:r>
    </w:p>
    <w:p>
      <w:pPr>
        <w:pStyle w:val="Compact"/>
        <w:numPr>
          <w:ilvl w:val="0"/>
          <w:numId w:val="1005"/>
        </w:numPr>
      </w:pPr>
      <w:r>
        <w:t xml:space="preserve">Whether sales and marketing flexes down appropriately with the trading environment;</w:t>
      </w:r>
    </w:p>
    <w:p>
      <w:pPr>
        <w:pStyle w:val="Compact"/>
        <w:numPr>
          <w:ilvl w:val="0"/>
          <w:numId w:val="1005"/>
        </w:numPr>
      </w:pPr>
      <w:r>
        <w:t xml:space="preserve">The exit-rate implications for the company’s full-year</w:t>
      </w:r>
      <w:r>
        <w:t xml:space="preserve"> </w:t>
      </w:r>
      <m:oMath>
        <m:r>
          <m:t>4.3</m:t>
        </m:r>
        <m:r>
          <m:rPr>
            <m:sty m:val="p"/>
          </m:rPr>
          <m:t>–</m:t>
        </m:r>
      </m:oMath>
      <w:r>
        <w:rPr>
          <w:b/>
          <w:bCs/>
        </w:rPr>
        <w:t xml:space="preserve">4.6 billion</w:t>
      </w:r>
      <w:r>
        <w:t xml:space="preserve"> </w:t>
      </w:r>
      <w:r>
        <w:t xml:space="preserve">adjusted-expense framework.</w:t>
      </w:r>
    </w:p>
    <w:p>
      <w:pPr>
        <w:pStyle w:val="FirstParagraph"/>
      </w:pPr>
      <w:r>
        <w:t xml:space="preserve">GAAP net income can be unusually noisy because Coinbase carries crypto investments and other non-operating items that are marked through earnings. Adjusted EBITDA, adjusted expenses, and cash generation should provide a clearer view of underlying operating performance.</w:t>
      </w:r>
    </w:p>
    <w:bookmarkEnd w:id="14"/>
    <w:bookmarkStart w:id="15" w:name="Xff9208425c51a537fd0a6f716360b28701057f3"/>
    <w:p>
      <w:pPr>
        <w:pStyle w:val="Heading3"/>
      </w:pPr>
      <w:r>
        <w:t xml:space="preserve">4. Everything Exchange traction</w:t>
      </w:r>
    </w:p>
    <w:p>
      <w:pPr>
        <w:pStyle w:val="FirstParagraph"/>
      </w:pPr>
      <w:r>
        <w:t xml:space="preserve">Coinbase’s long-term strategic case increasingly rests on becoming an “Everything Exchange,” spanning crypto, equities, commodities, prediction markets, derivatives, and FX.</w:t>
      </w:r>
    </w:p>
    <w:p>
      <w:pPr>
        <w:pStyle w:val="BodyText"/>
      </w:pPr>
      <w:r>
        <w:t xml:space="preserve">The company has already highlighted several early milestones:</w:t>
      </w:r>
    </w:p>
    <w:p>
      <w:pPr>
        <w:pStyle w:val="Compact"/>
        <w:numPr>
          <w:ilvl w:val="0"/>
          <w:numId w:val="1006"/>
        </w:numPr>
      </w:pPr>
      <w:r>
        <w:t xml:space="preserve">Retail derivatives at a</w:t>
      </w:r>
      <w:r>
        <w:t xml:space="preserve"> </w:t>
      </w:r>
      <w:r>
        <w:rPr>
          <w:b/>
          <w:bCs/>
        </w:rPr>
        <w:t xml:space="preserve">$200 million-plus</w:t>
      </w:r>
      <w:r>
        <w:t xml:space="preserve"> </w:t>
      </w:r>
      <w:r>
        <w:t xml:space="preserve">annualized revenue run rate;</w:t>
      </w:r>
    </w:p>
    <w:p>
      <w:pPr>
        <w:pStyle w:val="Compact"/>
        <w:numPr>
          <w:ilvl w:val="0"/>
          <w:numId w:val="1006"/>
        </w:numPr>
      </w:pPr>
      <w:r>
        <w:t xml:space="preserve">Prediction markets at a</w:t>
      </w:r>
      <w:r>
        <w:t xml:space="preserve"> </w:t>
      </w:r>
      <w:r>
        <w:rPr>
          <w:b/>
          <w:bCs/>
        </w:rPr>
        <w:t xml:space="preserve">$100 million-plus</w:t>
      </w:r>
      <w:r>
        <w:t xml:space="preserve"> </w:t>
      </w:r>
      <w:r>
        <w:t xml:space="preserve">annualized run rate in March;</w:t>
      </w:r>
    </w:p>
    <w:p>
      <w:pPr>
        <w:pStyle w:val="Compact"/>
        <w:numPr>
          <w:ilvl w:val="0"/>
          <w:numId w:val="1006"/>
        </w:numPr>
      </w:pPr>
      <w:r>
        <w:t xml:space="preserve">More than fourfold quarter-over-quarter growth in volume for non-crypto contracts such as gold, silver, and oil;</w:t>
      </w:r>
    </w:p>
    <w:p>
      <w:pPr>
        <w:pStyle w:val="Compact"/>
        <w:numPr>
          <w:ilvl w:val="0"/>
          <w:numId w:val="1006"/>
        </w:numPr>
      </w:pPr>
      <w:r>
        <w:t xml:space="preserve">Ongoing integration of Deribit, with a goal of ultimately unifying spot, perps, futures, and options.</w:t>
      </w:r>
    </w:p>
    <w:p>
      <w:pPr>
        <w:pStyle w:val="FirstParagraph"/>
      </w:pPr>
      <w:r>
        <w:t xml:space="preserve">Investors should listen for disclosure on revenue contribution, customer adoption, unit economics, geographic availability, and the timing of crypto-options capabilities in the United States. The market likely does not need every product to be material today; it needs proof that Coinbase can create recurring, scalable revenue pools beyond spot crypto.</w:t>
      </w:r>
    </w:p>
    <w:bookmarkEnd w:id="15"/>
    <w:bookmarkStart w:id="16" w:name="X9fc73ab5c4e477e16c29f96806b82a906870c25"/>
    <w:p>
      <w:pPr>
        <w:pStyle w:val="Heading3"/>
      </w:pPr>
      <w:r>
        <w:t xml:space="preserve">5. Regulatory outlook: catalyst, but not a Q2 revenue driver</w:t>
      </w:r>
    </w:p>
    <w:p>
      <w:pPr>
        <w:pStyle w:val="FirstParagraph"/>
      </w:pPr>
      <w:r>
        <w:t xml:space="preserve">The potential progress of the</w:t>
      </w:r>
      <w:r>
        <w:t xml:space="preserve"> </w:t>
      </w:r>
      <w:r>
        <w:rPr>
          <w:b/>
          <w:bCs/>
        </w:rPr>
        <w:t xml:space="preserve">CLARITY Act</w:t>
      </w:r>
      <w:r>
        <w:t xml:space="preserve"> </w:t>
      </w:r>
      <w:r>
        <w:t xml:space="preserve">is an important valuation catalyst, but it should be separated from the Q2 operating result, which covers the period ended</w:t>
      </w:r>
      <w:r>
        <w:t xml:space="preserve"> </w:t>
      </w:r>
      <w:r>
        <w:rPr>
          <w:b/>
          <w:bCs/>
        </w:rPr>
        <w:t xml:space="preserve">June 30, 2026</w:t>
      </w:r>
      <w:r>
        <w:t xml:space="preserve">.</w:t>
      </w:r>
    </w:p>
    <w:p>
      <w:pPr>
        <w:pStyle w:val="BodyText"/>
      </w:pPr>
      <w:r>
        <w:t xml:space="preserve">Management has characterized market-structure legislation as a potential unlock for tokenization, institutional participation, self-custody, and new Coinbase services. Recent reporting suggests the legislative path remains active but politically uncertain. A constructive update could improve the medium-term narrative, while renewed delay would remove a support for sentiment.</w:t>
      </w:r>
    </w:p>
    <w:p>
      <w:pPr>
        <w:pStyle w:val="BodyText"/>
      </w:pPr>
      <w:r>
        <w:t xml:space="preserve">The immediate financial relevance is likely indirect: regulation affects the addressable market, product-launch cadence, institutional adoption, and competitive landscape more than it affects Q2 revenue.</w:t>
      </w:r>
    </w:p>
    <w:p>
      <w:r>
        <w:pict>
          <v:rect style="width:0;height:1.5pt" o:hralign="center" o:hrstd="t" o:hr="t"/>
        </w:pict>
      </w:r>
    </w:p>
    <w:bookmarkEnd w:id="16"/>
    <w:bookmarkEnd w:id="17"/>
    <w:bookmarkStart w:id="18" w:name="stock-setup"/>
    <w:p>
      <w:pPr>
        <w:pStyle w:val="Heading2"/>
      </w:pPr>
      <w:r>
        <w:t xml:space="preserve">Stock setup</w:t>
      </w:r>
    </w:p>
    <w:p>
      <w:pPr>
        <w:pStyle w:val="FirstParagraph"/>
      </w:pPr>
      <w:r>
        <w:t xml:space="preserve">COIN closed at</w:t>
      </w:r>
      <w:r>
        <w:t xml:space="preserve"> </w:t>
      </w:r>
      <w:r>
        <w:rPr>
          <w:b/>
          <w:bCs/>
        </w:rPr>
        <w:t xml:space="preserve">$163.72 on July 29</w:t>
      </w:r>
      <w:r>
        <w:t xml:space="preserve">. The stock declined about</w:t>
      </w:r>
      <w:r>
        <w:t xml:space="preserve"> </w:t>
      </w:r>
      <w:r>
        <w:rPr>
          <w:b/>
          <w:bCs/>
        </w:rPr>
        <w:t xml:space="preserve">16.3% during Q2</w:t>
      </w:r>
      <w:r>
        <w:t xml:space="preserve">—from $174.61 on March 31 to $146.19 on June 30—before rebounding roughly</w:t>
      </w:r>
      <w:r>
        <w:t xml:space="preserve"> </w:t>
      </w:r>
      <w:r>
        <w:rPr>
          <w:b/>
          <w:bCs/>
        </w:rPr>
        <w:t xml:space="preserve">12.0%</w:t>
      </w:r>
      <w:r>
        <w:t xml:space="preserve"> </w:t>
      </w:r>
      <w:r>
        <w:t xml:space="preserve">from the June 30 close into July 29. It remains about</w:t>
      </w:r>
      <w:r>
        <w:t xml:space="preserve"> </w:t>
      </w:r>
      <w:r>
        <w:rPr>
          <w:b/>
          <w:bCs/>
        </w:rPr>
        <w:t xml:space="preserve">6.2% below</w:t>
      </w:r>
      <w:r>
        <w:t xml:space="preserve"> </w:t>
      </w:r>
      <w:r>
        <w:t xml:space="preserve">its March 31 level.</w:t>
      </w:r>
    </w:p>
    <w:p>
      <w:pPr>
        <w:pStyle w:val="BodyText"/>
      </w:pPr>
      <w:r>
        <w:t xml:space="preserve">That setup suggests the market has already acknowledged a softer Q2 crypto-trading environment, while recent movement appears tied in part to optimism surrounding regulatory progress. Therefore, the risk/reward may be less about a modest miss on quarterly transaction revenue and more about whether management can defend:</w:t>
      </w:r>
    </w:p>
    <w:p>
      <w:pPr>
        <w:pStyle w:val="Compact"/>
        <w:numPr>
          <w:ilvl w:val="0"/>
          <w:numId w:val="1007"/>
        </w:numPr>
      </w:pPr>
      <w:r>
        <w:t xml:space="preserve">the durability of subscription and services revenue;</w:t>
      </w:r>
    </w:p>
    <w:p>
      <w:pPr>
        <w:pStyle w:val="Compact"/>
        <w:numPr>
          <w:ilvl w:val="0"/>
          <w:numId w:val="1007"/>
        </w:numPr>
      </w:pPr>
      <w:r>
        <w:t xml:space="preserve">the stablecoin-growth narrative;</w:t>
      </w:r>
    </w:p>
    <w:p>
      <w:pPr>
        <w:pStyle w:val="Compact"/>
        <w:numPr>
          <w:ilvl w:val="0"/>
          <w:numId w:val="1007"/>
        </w:numPr>
      </w:pPr>
      <w:r>
        <w:t xml:space="preserve">expense-reduction credibility;</w:t>
      </w:r>
    </w:p>
    <w:p>
      <w:pPr>
        <w:pStyle w:val="Compact"/>
        <w:numPr>
          <w:ilvl w:val="0"/>
          <w:numId w:val="1007"/>
        </w:numPr>
      </w:pPr>
      <w:r>
        <w:t xml:space="preserve">the ability of derivatives and prediction markets to diversify earnings; and</w:t>
      </w:r>
    </w:p>
    <w:p>
      <w:pPr>
        <w:pStyle w:val="Compact"/>
        <w:numPr>
          <w:ilvl w:val="0"/>
          <w:numId w:val="1007"/>
        </w:numPr>
      </w:pPr>
      <w:r>
        <w:t xml:space="preserve">a constructive second-half outlook.</w:t>
      </w:r>
    </w:p>
    <w:p>
      <w:r>
        <w:pict>
          <v:rect style="width:0;height:1.5pt" o:hralign="center" o:hrstd="t" o:hr="t"/>
        </w:pict>
      </w:r>
    </w:p>
    <w:bookmarkEnd w:id="18"/>
    <w:bookmarkStart w:id="21" w:name="potential-reactions"/>
    <w:p>
      <w:pPr>
        <w:pStyle w:val="Heading2"/>
      </w:pPr>
      <w:r>
        <w:t xml:space="preserve">Potential reactions</w:t>
      </w:r>
    </w:p>
    <w:bookmarkStart w:id="19" w:name="bull-case"/>
    <w:p>
      <w:pPr>
        <w:pStyle w:val="Heading3"/>
      </w:pPr>
      <w:r>
        <w:t xml:space="preserve">Bull case</w:t>
      </w:r>
    </w:p>
    <w:p>
      <w:pPr>
        <w:pStyle w:val="FirstParagraph"/>
      </w:pPr>
      <w:r>
        <w:t xml:space="preserve">A positive reaction would likely require some combination of:</w:t>
      </w:r>
    </w:p>
    <w:p>
      <w:pPr>
        <w:pStyle w:val="Compact"/>
        <w:numPr>
          <w:ilvl w:val="0"/>
          <w:numId w:val="1008"/>
        </w:numPr>
      </w:pPr>
      <w:r>
        <w:t xml:space="preserve">Transaction revenue holding up better than feared;</w:t>
      </w:r>
    </w:p>
    <w:p>
      <w:pPr>
        <w:pStyle w:val="Compact"/>
        <w:numPr>
          <w:ilvl w:val="0"/>
          <w:numId w:val="1008"/>
        </w:numPr>
      </w:pPr>
      <w:r>
        <w:t xml:space="preserve">Subscription and services revenue at or above the high end of the</w:t>
      </w:r>
      <w:r>
        <w:t xml:space="preserve"> </w:t>
      </w:r>
      <m:oMath>
        <m:r>
          <m:t>565</m:t>
        </m:r>
        <m:r>
          <m:rPr>
            <m:sty m:val="p"/>
          </m:rPr>
          <m:t>–</m:t>
        </m:r>
      </m:oMath>
      <w:r>
        <w:t xml:space="preserve">645 million guide;</w:t>
      </w:r>
    </w:p>
    <w:p>
      <w:pPr>
        <w:pStyle w:val="Compact"/>
        <w:numPr>
          <w:ilvl w:val="0"/>
          <w:numId w:val="1008"/>
        </w:numPr>
      </w:pPr>
      <w:r>
        <w:t xml:space="preserve">Continued USDC balance growth and solid stablecoin revenue;</w:t>
      </w:r>
    </w:p>
    <w:p>
      <w:pPr>
        <w:pStyle w:val="Compact"/>
        <w:numPr>
          <w:ilvl w:val="0"/>
          <w:numId w:val="1008"/>
        </w:numPr>
      </w:pPr>
      <w:r>
        <w:t xml:space="preserve">Expenses below the guided range, supporting a better adjusted-EBITDA outcome;</w:t>
      </w:r>
    </w:p>
    <w:p>
      <w:pPr>
        <w:pStyle w:val="Compact"/>
        <w:numPr>
          <w:ilvl w:val="0"/>
          <w:numId w:val="1008"/>
        </w:numPr>
      </w:pPr>
      <w:r>
        <w:t xml:space="preserve">Tangible evidence of derivatives and prediction-market monetization;</w:t>
      </w:r>
    </w:p>
    <w:p>
      <w:pPr>
        <w:pStyle w:val="Compact"/>
        <w:numPr>
          <w:ilvl w:val="0"/>
          <w:numId w:val="1008"/>
        </w:numPr>
      </w:pPr>
      <w:r>
        <w:t xml:space="preserve">Confident commentary on market share, Deribit integration, and regulatory tailwinds.</w:t>
      </w:r>
    </w:p>
    <w:bookmarkEnd w:id="19"/>
    <w:bookmarkStart w:id="20" w:name="bear-case"/>
    <w:p>
      <w:pPr>
        <w:pStyle w:val="Heading3"/>
      </w:pPr>
      <w:r>
        <w:t xml:space="preserve">Bear case</w:t>
      </w:r>
    </w:p>
    <w:p>
      <w:pPr>
        <w:pStyle w:val="FirstParagraph"/>
      </w:pPr>
      <w:r>
        <w:t xml:space="preserve">A negative reaction would likely follow if:</w:t>
      </w:r>
    </w:p>
    <w:p>
      <w:pPr>
        <w:pStyle w:val="Compact"/>
        <w:numPr>
          <w:ilvl w:val="0"/>
          <w:numId w:val="1009"/>
        </w:numPr>
      </w:pPr>
      <w:r>
        <w:t xml:space="preserve">Consumer spot activity weakens more sharply than expected;</w:t>
      </w:r>
    </w:p>
    <w:p>
      <w:pPr>
        <w:pStyle w:val="Compact"/>
        <w:numPr>
          <w:ilvl w:val="0"/>
          <w:numId w:val="1009"/>
        </w:numPr>
      </w:pPr>
      <w:r>
        <w:t xml:space="preserve">Stablecoin revenue misses because balances, rates, or USDC economics disappoint;</w:t>
      </w:r>
    </w:p>
    <w:p>
      <w:pPr>
        <w:pStyle w:val="Compact"/>
        <w:numPr>
          <w:ilvl w:val="0"/>
          <w:numId w:val="1009"/>
        </w:numPr>
      </w:pPr>
      <w:r>
        <w:t xml:space="preserve">The restructuring costs more, or savings arrive later, than anticipated;</w:t>
      </w:r>
    </w:p>
    <w:p>
      <w:pPr>
        <w:pStyle w:val="Compact"/>
        <w:numPr>
          <w:ilvl w:val="0"/>
          <w:numId w:val="1009"/>
        </w:numPr>
      </w:pPr>
      <w:r>
        <w:t xml:space="preserve">New-product revenue remains too small to offset spot-volume weakness;</w:t>
      </w:r>
    </w:p>
    <w:p>
      <w:pPr>
        <w:pStyle w:val="Compact"/>
        <w:numPr>
          <w:ilvl w:val="0"/>
          <w:numId w:val="1009"/>
        </w:numPr>
      </w:pPr>
      <w:r>
        <w:t xml:space="preserve">Management becomes more cautious on Q3 trading conditions or full-year expenses;</w:t>
      </w:r>
    </w:p>
    <w:p>
      <w:pPr>
        <w:pStyle w:val="Compact"/>
        <w:numPr>
          <w:ilvl w:val="0"/>
          <w:numId w:val="1009"/>
        </w:numPr>
      </w:pPr>
      <w:r>
        <w:t xml:space="preserve">Legislative commentary highlights a materially delayed or uncertain path to market-structure reform.</w:t>
      </w:r>
    </w:p>
    <w:p>
      <w:r>
        <w:pict>
          <v:rect style="width:0;height:1.5pt" o:hralign="center" o:hrstd="t" o:hr="t"/>
        </w:pict>
      </w:r>
    </w:p>
    <w:bookmarkEnd w:id="20"/>
    <w:bookmarkEnd w:id="21"/>
    <w:bookmarkStart w:id="22" w:name="bottom-line"/>
    <w:p>
      <w:pPr>
        <w:pStyle w:val="Heading2"/>
      </w:pPr>
      <w:r>
        <w:t xml:space="preserve">Bottom line</w:t>
      </w:r>
    </w:p>
    <w:p>
      <w:pPr>
        <w:pStyle w:val="FirstParagraph"/>
      </w:pPr>
      <w:r>
        <w:rPr>
          <w:b/>
          <w:bCs/>
        </w:rPr>
        <w:t xml:space="preserve">Q2 is likely to be a “prove the diversification” quarter for Coinbase.</w:t>
      </w:r>
      <w:r>
        <w:t xml:space="preserve"> </w:t>
      </w:r>
      <w:r>
        <w:t xml:space="preserve">Core trading conditions appear soft, and the report may not look strong on headline transaction revenue. However, the more important test is whether Coinbase can show that stablecoins, subscriptions, derivatives, prediction markets, and disciplined costs are reducing the earnings volatility that historically defined the company.</w:t>
      </w:r>
    </w:p>
    <w:p>
      <w:pPr>
        <w:pStyle w:val="BodyText"/>
      </w:pPr>
      <w:r>
        <w:t xml:space="preserve">For investors, the highest-value disclosures will be</w:t>
      </w:r>
      <w:r>
        <w:t xml:space="preserve"> </w:t>
      </w:r>
      <w:r>
        <w:rPr>
          <w:b/>
          <w:bCs/>
        </w:rPr>
        <w:t xml:space="preserve">USDC/stablecoin momentum, transaction-revenue resilience versus market volumes, market-share trends, Everything Exchange monetization, and the expense exit rate.</w:t>
      </w:r>
      <w:r>
        <w:t xml:space="preserve"> </w:t>
      </w:r>
      <w:r>
        <w:t xml:space="preserve">A soft spot-trading number alone is unlikely to settle the debate; the report’s significance will depend on whether these newer revenue engines are becoming sufficiently material to change the long-term earnings profile.</w:t>
      </w:r>
    </w:p>
    <w:p>
      <w:pPr>
        <w:pStyle w:val="BodyText"/>
      </w:pPr>
      <w:r>
        <w:rPr>
          <w:i/>
          <w:iCs/>
        </w:rPr>
        <w:t xml:space="preserve">Primary sources: Coinbase Q1 2026 earnings presentation and earnings-call transcript; company news and market-price data through July 29,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2026-07-29T19:21:54Z</dcterms:created>
  <dcterms:modified xsi:type="dcterms:W3CDTF">2026-07-29T19:21:54Z</dcterms:modified>
</cp:coreProperties>
</file>

<file path=docProps/custom.xml><?xml version="1.0" encoding="utf-8"?>
<Properties xmlns="http://schemas.openxmlformats.org/officeDocument/2006/custom-properties" xmlns:vt="http://schemas.openxmlformats.org/officeDocument/2006/docPropsVTypes"/>
</file>