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Coinbase Global (COIN) — 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Company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Coinbase Global, Inc.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COIN (NASDAQ)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Q2 2026 (quarter ended June 30,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Earnings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30, 2026 — After Market Close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29, 2026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setup into Q2 is a </w:t>
      </w:r>
      <w:r>
        <w:rPr>
          <w:rFonts w:ascii="Calibri" w:hAnsi="Calibri"/>
          <w:b/>
          <w:color w:val="525866"/>
          <w:sz w:val="22"/>
        </w:rPr>
        <w:t>low bar with meaningful downside risk</w:t>
      </w:r>
      <w:r>
        <w:rPr>
          <w:rFonts w:ascii="Calibri" w:hAnsi="Calibri"/>
          <w:color w:val="525866"/>
          <w:sz w:val="22"/>
        </w:rPr>
        <w:t xml:space="preserve"> — consensus has been revised down ~20% over the past three months, yet the crypto market backdrop (spot CEX volumes -28% QoQ, total market cap -12.6% QoQ, BTC ending June near $60K) suggests even the reduced bar may be difficult to clear on transaction revenue; the single biggest swing factor is whether subscription &amp; services revenue can hold near the top of guidance and offset the trading shortfall.</w:t>
      </w:r>
    </w:p>
    <w:p>
      <w:r>
        <w:rPr>
          <w:rFonts w:ascii="Calibri" w:hAnsi="Calibri"/>
          <w:color w:val="525866"/>
          <w:sz w:val="22"/>
        </w:rPr>
        <w:t>The bar heading into Q2 is unambiguously low: consensus total revenue of ~$1.30B represents a ~8% sequential decline from Q1’s already-depressed $1.41B, and the estimate has been cut roughly 20% over the past three months. Management’s posture on the Q1 call was cautiously constructive — they guided subscription &amp; services revenue to $565–$645M (opportunity for sequential growth) and Tech &amp; Dev + G&amp;A expenses to $820–$870M (down 4–9% QoQ), signaling cost discipline even as trading volumes softened. Estimate revisions have tracked guidance directionally but remain above the low end of the S&amp;S range, leaving modest cushion if stablecoin revenue holds near its Q1 all-time high USDC balance of $19B. The stock has declined roughly 17% since the Q1 print (vs. SPY roughly flat), suggesting the market has already priced in a weak quarter, though the multiple remains elevated relative to the earnings power implied by current crypto volumes. The key wildcard is the trajectory of crypto trading volumes in June — industry data shows spot CEX volumes rebounded modestly from May’s multi-year low, and any upside there, combined with Deribit derivatives contribution and prediction markets scaling, could produce a positive surprise on transaction revenue even in a down market.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is a </w:t>
      </w:r>
      <w:r>
        <w:rPr>
          <w:rFonts w:ascii="Calibri" w:hAnsi="Calibri"/>
          <w:b/>
          <w:color w:val="525866"/>
          <w:sz w:val="22"/>
        </w:rPr>
        <w:t>low bar</w:t>
      </w:r>
      <w:r>
        <w:rPr>
          <w:rFonts w:ascii="Calibri" w:hAnsi="Calibri"/>
          <w:color w:val="525866"/>
          <w:sz w:val="22"/>
        </w:rPr>
        <w:t xml:space="preserve"> on every major KPI after ~20% downward revisions over three months, but the </w:t>
      </w:r>
      <w:r>
        <w:rPr>
          <w:rFonts w:ascii="Calibri" w:hAnsi="Calibri"/>
          <w:b/>
          <w:color w:val="525866"/>
          <w:sz w:val="22"/>
        </w:rPr>
        <w:t>transaction revenue line is the bigger swing factor</w:t>
      </w:r>
      <w:r>
        <w:rPr>
          <w:rFonts w:ascii="Calibri" w:hAnsi="Calibri"/>
          <w:color w:val="525866"/>
          <w:sz w:val="22"/>
        </w:rPr>
        <w:t xml:space="preserve"> — spot crypto volumes fell ~28% QoQ industry-wide in Q2, making it hard to beat even a reduced estimate, while subscription &amp; services has explicit guidance support and is the more predictable line.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Q2 2026 Current Quarter Snapshot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 (Last Quarter)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 (Prior Year)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$1,413M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$1,497M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$1,296M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-13.4%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Transaction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$756M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$764M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$632M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-17.3%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Subscription &amp; Services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$584M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$632M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$592M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-6.3%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$565–$645M (midpoint $605M)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-2.2% vs.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Stablecoin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$305M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$309M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$320M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Adjusted EBITDA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$303M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$512M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$326M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-36.3%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Implied by expense guide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EPS — Diluted Operating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-$0.17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$0.12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-$0.13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Trading Volume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$202B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$237B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$175B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-26.2%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Monthly Transacting Users (MTUs)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8.2M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8.7M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8.3M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-4.6%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Sources: Visible Alpha Consensus and Actuals Data; Q1 2026 Earnings Call transcript (May 7, 2026). All consensus figures as of latest available. Q1 2026 actuals sourced from Visible Alpha reported figures.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 / Miss History (Last 8 Quarters) — Top 2 KPIs</w:t>
      </w:r>
    </w:p>
    <w:p>
      <w:pPr>
        <w:pStyle w:val="Heading4"/>
      </w:pPr>
      <w:r>
        <w:rPr>
          <w:rFonts w:ascii="Calibri" w:hAnsi="Calibri"/>
          <w:b/>
          <w:color w:val="3B4259"/>
          <w:sz w:val="22"/>
        </w:rPr>
        <w:t>Transaction Revenue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 ($M)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($M)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$781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$789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$573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$619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-7.4%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$1,556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$1,189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+30.9%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$1,262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$1,309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-3.6%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$764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$793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-3.7%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$1,046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$973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+7.5%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$983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$991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-0.8%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$756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$806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-6.2%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COIN has missed on transaction revenue in 6 of the last 8 quarters, with beats concentrated in high-volatility periods (Q4 2024, Q3 2025); the consistent miss pattern in softer markets reinforces downside risk for Q2 2026 given the weak industry volume backdrop.</w:t>
      </w:r>
    </w:p>
    <w:p>
      <w:pPr>
        <w:pStyle w:val="Heading4"/>
      </w:pPr>
      <w:r>
        <w:rPr>
          <w:rFonts w:ascii="Calibri" w:hAnsi="Calibri"/>
          <w:b/>
          <w:color w:val="3B4259"/>
          <w:sz w:val="22"/>
        </w:rPr>
        <w:t>Subscription &amp; Services Revenue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 ($M)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($M)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$599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$561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+6.8%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$556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$573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-3.0%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$641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$606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$675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$692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-2.5%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$632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$701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-9.8%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$717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$739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-3.0%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$694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$749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-7.3%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$584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$630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-7.3%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S&amp;S revenue has missed consensus in 6 of the last 8 quarters, with the misses concentrated in periods of declining crypto prices and rates; the Q2 2026 guidance range ($565–$645M) provides a more realistic anchor than prior consensus estimates, suggesting the miss pattern may narrow if management’s own guidance proves accurate.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Management’s guidance since the Q1 2026 earnings call (May 7) has been </w:t>
      </w:r>
      <w:r>
        <w:rPr>
          <w:rFonts w:ascii="Calibri" w:hAnsi="Calibri"/>
          <w:b/>
          <w:color w:val="525866"/>
          <w:sz w:val="22"/>
        </w:rPr>
        <w:t>unchanged on financials</w:t>
      </w:r>
      <w:r>
        <w:rPr>
          <w:rFonts w:ascii="Calibri" w:hAnsi="Calibri"/>
          <w:color w:val="525866"/>
          <w:sz w:val="22"/>
        </w:rPr>
        <w:t xml:space="preserve"> — no post-earnings 8-K or conference revised the S&amp;S or expense ranges — but tone has shifted modestly more cautious given the continued crypto market weakness through June; the CLARITY Act legislative progress (Senate committee passage May 14) is the one positive development that could lift sentiment on the call.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 Call, May 7)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Subscription &amp; Services Revenue (Q2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$565M – $645M (midpoint $605M); “opportunity for QoQ growth”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$592M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consensus sits ~2% below midpoint, within guidance range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Tech &amp; Dev + G&amp;A Expenses (Q2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$820M – $870M (down 4–9% QoQ from Q1’s ~$905M)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Implied ~$845M midpoint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AI-native restructuring expected to drive sequential improvement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Restructuring Charges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$50M – $60M (stand-alone line item; related to ~14% headcount reduction)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~$55M midpoint expected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one-time item, excluded from adjusted EBITDA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Adjusted Expenses (Tech &amp; Dev + G&amp;A + S&amp;M, ex-amortization)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$4.3B – $4.6B; ~$500M below Q4 2025 annualized exit rate at midpoint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Tracking to midpoint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excludes USDC rewards growth; flat to 2025 ex-USDC rewards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Transaction Revenue (Q2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 explicit guidance provided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$632M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Directional commentary only: management focused on market share gains and Everything Exchange diversification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Q1 2026 Earnings Call transcript, May 7, 2026; COIN 8-K filings (no post-earnings financial guidance revisions filed).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been </w:t>
      </w:r>
      <w:r>
        <w:rPr>
          <w:rFonts w:ascii="Calibri" w:hAnsi="Calibri"/>
          <w:b/>
          <w:color w:val="525866"/>
          <w:sz w:val="22"/>
        </w:rPr>
        <w:t>revised sharply lower</w:t>
      </w:r>
      <w:r>
        <w:rPr>
          <w:rFonts w:ascii="Calibri" w:hAnsi="Calibri"/>
          <w:color w:val="525866"/>
          <w:sz w:val="22"/>
        </w:rPr>
        <w:t xml:space="preserve"> since the Q1 print — Q2 total revenue consensus is down ~3.9% and FY 2026 revenue down ~4.2% from the post-Q1 baseline — tracking directionally with the weak crypto market but still sitting above the low end of management’s S&amp;S guidance range; the gap between current consensus and guidance midpoint is narrow enough that a beat on S&amp;S could offset a transaction revenue miss.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~5 Days Post Q1 Earnings (as of 5/12/26)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(%)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$1,349M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$1,296M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-3.9%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Transaction Revenue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$663M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$632M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-4.7%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Subscription &amp; Services Revenue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$612M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$592M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-3.3%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$565M – $645M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$565M – $645M (unchanged)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-2.2% vs. midpoint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Adjusted EBITDA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$365M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$326M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-10.7%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Implied by expense guide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$6,065M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$5,804M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-4.3%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Subscription &amp; Services Revenue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$2,572M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$2,489M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-3.2%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explicit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Adjusted EBITDA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$1,845M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$1,618M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-12.3%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$4.3B–$4.6B adj. expense range (implies EBITDA floor)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color w:val="525866"/>
          <w:sz w:val="22"/>
        </w:rPr>
        <w:t>The sharpest revision has been to Adjusted EBITDA (-10.7% for Q2, -12.3% for FY), reflecting the market’s view that revenue weakness will not be fully offset by the cost cuts. Subscription &amp; services estimates have been revised down more modestly (-3.3%) and remain within the guidance range, suggesting the market gives management credit for the S&amp;S floor but is skeptical on the upside.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 (as-of date 5/12/2026 for post-Q1 baseline; latest for current consensus).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COIN has underperformed both the S&amp;P 500 and BITO (crypto proxy ETF) by a wide margin since the Q1 print — down ~17% vs. SPY roughly flat and BITO down ~21% — suggesting the stock has been driven by </w:t>
      </w:r>
      <w:r>
        <w:rPr>
          <w:rFonts w:ascii="Calibri" w:hAnsi="Calibri"/>
          <w:b/>
          <w:color w:val="525866"/>
          <w:sz w:val="22"/>
        </w:rPr>
        <w:t>multiple compression and crypto sentiment</w:t>
      </w:r>
      <w:r>
        <w:rPr>
          <w:rFonts w:ascii="Calibri" w:hAnsi="Calibri"/>
          <w:color w:val="525866"/>
          <w:sz w:val="22"/>
        </w:rPr>
        <w:t xml:space="preserve"> rather than estimate revisions alone; the stock is entering Q2 earnings at a depressed level, which lowers the hurdle for a positive reaction but also reflects genuine fundamental deterioration.</w:t>
      </w:r>
    </w:p>
    <w:p>
      <w:r>
        <w:drawing>
          <wp:inline xmlns:a="http://schemas.openxmlformats.org/drawingml/2006/main" xmlns:pic="http://schemas.openxmlformats.org/drawingml/2006/picture">
            <wp:extent cx="5943600" cy="4245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COIN vs. BITO (Crypto ETF) vs. S&amp;P 500 — Indexed to 100 at Q1 2026 Earnings (May 7, 2026). Source: Yahoo Finance / Stock Price Data.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COIN: </w:t>
      </w:r>
      <w:r>
        <w:rPr>
          <w:rFonts w:ascii="Calibri" w:hAnsi="Calibri"/>
          <w:color w:val="525866"/>
          <w:sz w:val="22"/>
        </w:rPr>
        <w:t>Down ~17% from the Q1 earnings close of $192.96 to $160.09 as of July 30, 2026 (pre-earnings).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BITO (ProShares Bitcoin ETF — crypto sector proxy): </w:t>
      </w:r>
      <w:r>
        <w:rPr>
          <w:rFonts w:ascii="Calibri" w:hAnsi="Calibri"/>
          <w:color w:val="525866"/>
          <w:sz w:val="22"/>
        </w:rPr>
        <w:t>Down ~21% over the same period, reflecting the broader crypto market decline (BTC -14% in Q2, ending near $60K).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S&amp;P 500 (SPY): </w:t>
      </w:r>
      <w:r>
        <w:rPr>
          <w:rFonts w:ascii="Calibri" w:hAnsi="Calibri"/>
          <w:color w:val="525866"/>
          <w:sz w:val="22"/>
        </w:rPr>
        <w:t>Roughly flat (-0.3%), with equity markets recovering strongly in April–May on tech earnings before softening in late July.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Key events: </w:t>
      </w:r>
      <w:r>
        <w:rPr>
          <w:rFonts w:ascii="Calibri" w:hAnsi="Calibri"/>
          <w:color w:val="525866"/>
          <w:sz w:val="22"/>
        </w:rPr>
        <w:t>CLARITY Act Senate Banking Committee passage (May 14) provided a brief positive catalyst; CLO Paul Grewal departure (July 9) and CPO Lawrence Brock departure (July 23) added leadership uncertainty; Citi PT cut to $235 from $400 (July 23) and JPMorgan PT cut to $196 from $283 (July 17) weighed on sentiment into the print.</w:t>
      </w:r>
    </w:p>
    <w:p>
      <w:r>
        <w:rPr>
          <w:rFonts w:ascii="Calibri" w:hAnsi="Calibri"/>
          <w:i/>
          <w:color w:val="525866"/>
          <w:sz w:val="22"/>
        </w:rPr>
        <w:t>Source: Yahoo Finance / Stock Price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Peer Commentaries — Q2 2026 Read-Throughs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Peers reporting Q2 2026 results paint a </w:t>
      </w:r>
      <w:r>
        <w:rPr>
          <w:rFonts w:ascii="Calibri" w:hAnsi="Calibri"/>
          <w:b/>
          <w:color w:val="525866"/>
          <w:sz w:val="22"/>
        </w:rPr>
        <w:t>mixed-to-negative read-through for COIN</w:t>
      </w:r>
      <w:r>
        <w:rPr>
          <w:rFonts w:ascii="Calibri" w:hAnsi="Calibri"/>
          <w:color w:val="525866"/>
          <w:sz w:val="22"/>
        </w:rPr>
        <w:t xml:space="preserve"> — retail trading volumes were strong at HOOD and SCHW (positive for consumer transaction revenue), but crypto-specific volumes were softer (HOOD flagged slower crypto in July), and CME’s institutional crypto futures grew 32% YoY (positive for Coinbase’s institutional business); the most important signal is HOOD’s July crypto commentary, which suggests Q3 may be softer than Q2 for crypto trading.</w:t>
      </w:r>
    </w:p>
    <w:p>
      <w:r>
        <w:rPr>
          <w:rFonts w:ascii="Calibri" w:hAnsi="Calibri"/>
          <w:i/>
          <w:color w:val="525866"/>
          <w:sz w:val="22"/>
        </w:rPr>
        <w:t>Note: Only commentary from peers’ Q2 2026 earnings calls and Q2-period conference appearances (May–July 2026) is included below. Prior-quarter earnings commentary has been excluded.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Robinhood (HOOD) — Q2 2026 Earnings Call (July 29,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color w:val="525866"/>
          <w:sz w:val="22"/>
        </w:rPr>
        <w:t>Moderately positive for COIN consumer transaction revenue in Q2; cautionary for Q3 crypto outlook.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Record crypto trading volumes in Q2: </w:t>
      </w:r>
      <w:r>
        <w:rPr>
          <w:rFonts w:ascii="Calibri" w:hAnsi="Calibri"/>
          <w:color w:val="525866"/>
          <w:sz w:val="22"/>
        </w:rPr>
        <w:t>HOOD reported record transaction volumes across the majority of asset classes in Q2 2026, with market share reaching new highs. This is a positive read-through for COIN’s consumer crypto trading volumes, though COIN’s take rate dynamics differ.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Crypto take rate compression: </w:t>
      </w:r>
      <w:r>
        <w:rPr>
          <w:rFonts w:ascii="Calibri" w:hAnsi="Calibri"/>
          <w:color w:val="525866"/>
          <w:sz w:val="22"/>
        </w:rPr>
        <w:t>HOOD’s CFO noted that the crypto take rate in April was down ~7–8 bps vs. Q1, driven by casual traders “stepping away” while active/institutional traders remained engaged — a pattern consistent with the broader industry data showing spot CEX volumes at multi-year lows in May. This is a negative read-through for COIN’s consumer take rate.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crypto volumes softer: </w:t>
      </w:r>
      <w:r>
        <w:rPr>
          <w:rFonts w:ascii="Calibri" w:hAnsi="Calibri"/>
          <w:color w:val="525866"/>
          <w:sz w:val="22"/>
        </w:rPr>
        <w:t>HOOD’s CEO explicitly flagged that July crypto ADVs were “probably a little bit slower than what we saw in Q2” — a cautionary signal for COIN’s Q3 transaction revenue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Prediction markets scaling: </w:t>
      </w:r>
      <w:r>
        <w:rPr>
          <w:rFonts w:ascii="Calibri" w:hAnsi="Calibri"/>
          <w:color w:val="525866"/>
          <w:sz w:val="22"/>
        </w:rPr>
        <w:t>HOOD’s prediction market user base grew from ~1.5M to ~2M users, with Rothera (HOOD’s DCM JV) becoming a top-3 designated contract market. This validates COIN’s own prediction markets scaling narrative (reached $100M annualized revenue in March 2026).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Perpetual futures appetite: </w:t>
      </w:r>
      <w:r>
        <w:rPr>
          <w:rFonts w:ascii="Calibri" w:hAnsi="Calibri"/>
          <w:color w:val="525866"/>
          <w:sz w:val="22"/>
        </w:rPr>
        <w:t>HOOD confirmed strong appetite for crypto perps and is in “constructive” conversations with the CFTC about U.S. launch — a competitive read-through for COIN’s derivatives business, though COIN’s Deribit acquisition gives it a head start.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Robinhood Chain / tokenization: </w:t>
      </w:r>
      <w:r>
        <w:rPr>
          <w:rFonts w:ascii="Calibri" w:hAnsi="Calibri"/>
          <w:color w:val="525866"/>
          <w:sz w:val="22"/>
        </w:rPr>
        <w:t>HOOD launched Robinhood Chain (first chain purpose-built for real-world assets) with $12B+ in DEX volume post-launch and 150M+ transactions — a competitive signal for COIN’s Base chain, though Base’s 62% stablecoin transaction share and 10x YoY growth remain dominant.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Net deposits record: </w:t>
      </w:r>
      <w:r>
        <w:rPr>
          <w:rFonts w:ascii="Calibri" w:hAnsi="Calibri"/>
          <w:color w:val="525866"/>
          <w:sz w:val="22"/>
        </w:rPr>
        <w:t>HOOD reported record net deposits of $22B (+28% annualized growth rate) and added nearly 1M funded customers in Q2 — positive for the broader retail crypto engagement thesis.</w:t>
      </w:r>
    </w:p>
    <w:p>
      <w:r>
        <w:rPr>
          <w:rFonts w:ascii="Calibri" w:hAnsi="Calibri"/>
          <w:i/>
          <w:color w:val="525866"/>
          <w:sz w:val="22"/>
        </w:rPr>
        <w:t>Source: Robinhood Q2 2026 Earnings Call transcript, July 29,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Interactive Brokers (IBKR) — Q2 2026 Earnings Call (July 21,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color w:val="525866"/>
          <w:sz w:val="22"/>
        </w:rPr>
        <w:t>Positive for COIN’s institutional and derivatives business; validates strong Q2 market environment for active traders.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Strong overall trading environment: </w:t>
      </w:r>
      <w:r>
        <w:rPr>
          <w:rFonts w:ascii="Calibri" w:hAnsi="Calibri"/>
          <w:color w:val="525866"/>
          <w:sz w:val="22"/>
        </w:rPr>
        <w:t>IBKR reported total customer DARTs of 4.8M/day in Q2, up 36% YoY, with client equity rising 40% to $930B and new accounts up 34% YoY — a broadly positive read-through for trading platform engagement.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Crypto perpetuals gaining traction: </w:t>
      </w:r>
      <w:r>
        <w:rPr>
          <w:rFonts w:ascii="Calibri" w:hAnsi="Calibri"/>
          <w:color w:val="525866"/>
          <w:sz w:val="22"/>
        </w:rPr>
        <w:t>IBKR introduced cryptocurrency perpetuals offered by Coinbase, which now account for ~one-third of IBKR’s crypto segment trading volume. This is a direct positive read-through for COIN’s derivatives revenue — IBKR is distributing COIN’s perp products to its institutional client base.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Crypto expansion in Europe: </w:t>
      </w:r>
      <w:r>
        <w:rPr>
          <w:rFonts w:ascii="Calibri" w:hAnsi="Calibri"/>
          <w:color w:val="525866"/>
          <w:sz w:val="22"/>
        </w:rPr>
        <w:t>IBKR began offering cryptocurrencies throughout Europe in Q2, building on UK crypto offerings since 2024 — positive for the broader institutional crypto adoption thesis that underpins COIN’s custody and institutional revenue.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Options and futures volumes near records: </w:t>
      </w:r>
      <w:r>
        <w:rPr>
          <w:rFonts w:ascii="Calibri" w:hAnsi="Calibri"/>
          <w:color w:val="525866"/>
          <w:sz w:val="22"/>
        </w:rPr>
        <w:t>IBKR reported second-highest contract volumes in options (+17% YoY) and futures (+2% YoY) — consistent with the strong derivatives environment that should benefit COIN’s Deribit-driven derivatives revenue.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Prediction markets launched: </w:t>
      </w:r>
      <w:r>
        <w:rPr>
          <w:rFonts w:ascii="Calibri" w:hAnsi="Calibri"/>
          <w:color w:val="525866"/>
          <w:sz w:val="22"/>
        </w:rPr>
        <w:t>IBKR launched IBKR Prediction Markets as a unified platform for event contracts — further validation of the prediction markets category growth that COIN has been building.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S&amp;P 500 up ~15% in Q2: </w:t>
      </w:r>
      <w:r>
        <w:rPr>
          <w:rFonts w:ascii="Calibri" w:hAnsi="Calibri"/>
          <w:color w:val="525866"/>
          <w:sz w:val="22"/>
        </w:rPr>
        <w:t>IBKR noted the S&amp;P 500 rose nearly 15% in Q2, driven by strong tech earnings and semiconductor momentum — the strong equity market backdrop likely supported COIN’s institutional client engagement even as crypto spot volumes declined.</w:t>
      </w:r>
    </w:p>
    <w:p>
      <w:r>
        <w:rPr>
          <w:rFonts w:ascii="Calibri" w:hAnsi="Calibri"/>
          <w:i/>
          <w:color w:val="525866"/>
          <w:sz w:val="22"/>
        </w:rPr>
        <w:t>Source: Interactive Brokers Q2 2026 Earnings Call transcript, July 21,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Charles Schwab (SCHW) — Q2 2026 Earnings Call (July 21,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color w:val="525866"/>
          <w:sz w:val="22"/>
        </w:rPr>
        <w:t>Positive for retail trading engagement broadly; limited direct crypto read-through as SCHW’s crypto rollout is still in early stages.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Record retail trading activity: </w:t>
      </w:r>
      <w:r>
        <w:rPr>
          <w:rFonts w:ascii="Calibri" w:hAnsi="Calibri"/>
          <w:color w:val="525866"/>
          <w:sz w:val="22"/>
        </w:rPr>
        <w:t>SCHW reported daily average trades of 11.9M in Q2, driving 28% growth in trading revenue to $1.2B. The company raised its full-year DAT assumption to 10.6M. This strong retail engagement environment is a positive read-through for COIN’s consumer trading volumes.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Structural shift in trading engagement: </w:t>
      </w:r>
      <w:r>
        <w:rPr>
          <w:rFonts w:ascii="Calibri" w:hAnsi="Calibri"/>
          <w:color w:val="525866"/>
          <w:sz w:val="22"/>
        </w:rPr>
        <w:t>SCHW’s CEO cited AI, the “Mag Seven” theme, and the removal of the pattern day trading rule as structural drivers of higher trading activity — factors that also benefit COIN’s active trader base.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Crypto rollout still early: </w:t>
      </w:r>
      <w:r>
        <w:rPr>
          <w:rFonts w:ascii="Calibri" w:hAnsi="Calibri"/>
          <w:color w:val="525866"/>
          <w:sz w:val="22"/>
        </w:rPr>
        <w:t>SCHW is on track to pilot crypto transfers by end of Q2 2026 and made an investment in Paxos — SCHW’s crypto entry is still nascent and not yet a competitive threat to COIN’s core business.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Prediction markets: cautious stance: </w:t>
      </w:r>
      <w:r>
        <w:rPr>
          <w:rFonts w:ascii="Calibri" w:hAnsi="Calibri"/>
          <w:color w:val="525866"/>
          <w:sz w:val="22"/>
        </w:rPr>
        <w:t>SCHW’s CEO categorized 90–95% of current prediction market volume as “sports gambling” and stated Schwab has “no interest in it” — a contrarian read-through that leaves COIN and HOOD as the primary beneficiaries of prediction market growth.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SpaceX IPO drove engagement: </w:t>
      </w:r>
      <w:r>
        <w:rPr>
          <w:rFonts w:ascii="Calibri" w:hAnsi="Calibri"/>
          <w:color w:val="525866"/>
          <w:sz w:val="22"/>
        </w:rPr>
        <w:t>SCHW noted “tremendous interest” in the SpaceX IPO from its client base, though it did not materially impact net new assets. The IPO-driven engagement likely benefited COIN’s institutional custody and trading business as well.</w:t>
      </w:r>
    </w:p>
    <w:p>
      <w:r>
        <w:rPr>
          <w:rFonts w:ascii="Calibri" w:hAnsi="Calibri"/>
          <w:i/>
          <w:color w:val="525866"/>
          <w:sz w:val="22"/>
        </w:rPr>
        <w:t>Source: Charles Schwab Q2 2026 Earnings Call transcript, July 21,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CME Group (CME) — Q2 2026 Earnings Call (July 22,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color w:val="525866"/>
          <w:sz w:val="22"/>
        </w:rPr>
        <w:t>Positive for COIN’s institutional crypto derivatives business; CME’s crypto futures growth validates institutional demand even as spot volumes declined.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Crypto futures up 32% YoY in Q2: </w:t>
      </w:r>
      <w:r>
        <w:rPr>
          <w:rFonts w:ascii="Calibri" w:hAnsi="Calibri"/>
          <w:color w:val="525866"/>
          <w:sz w:val="22"/>
        </w:rPr>
        <w:t>CME’s suite of crypto products grew 32% vs. Q2 2025, with H1 2026 crypto futures and options up 44% YoY and June up 76% YoY. CME is doing $4.5–$6.5B/day in crypto trading. This is a strong positive read-through for COIN’s institutional derivatives revenue (Deribit integration).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24/7 crypto futures trading launched: </w:t>
      </w:r>
      <w:r>
        <w:rPr>
          <w:rFonts w:ascii="Calibri" w:hAnsi="Calibri"/>
          <w:color w:val="525866"/>
          <w:sz w:val="22"/>
        </w:rPr>
        <w:t>CME launched 24/7 crypto futures trading in Q2, with $1.5B+ traded over the first eight weekends with “significant retail participation” — validates the around-the-clock trading trend that COIN has been building toward.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Perpetual futures: institutional skepticism: </w:t>
      </w:r>
      <w:r>
        <w:rPr>
          <w:rFonts w:ascii="Calibri" w:hAnsi="Calibri"/>
          <w:color w:val="525866"/>
          <w:sz w:val="22"/>
        </w:rPr>
        <w:t>CME’s CEO Terry Duffy reiterated that perpetual futures are “not appropriate for institutional risk managers” and that CME has “not heard demand from customers” for them. This is a nuanced read-through — it validates COIN’s retail/active-trader perp strategy (via Deribit) while suggesting the institutional perp market remains nascent.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Q3 started strong: </w:t>
      </w:r>
      <w:r>
        <w:rPr>
          <w:rFonts w:ascii="Calibri" w:hAnsi="Calibri"/>
          <w:color w:val="525866"/>
          <w:sz w:val="22"/>
        </w:rPr>
        <w:t>CME noted July-to-date volume tracking 18% ahead of last year — a positive early read for Q3 derivatives activity that could benefit COIN’s institutional business.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Prediction markets growing: </w:t>
      </w:r>
      <w:r>
        <w:rPr>
          <w:rFonts w:ascii="Calibri" w:hAnsi="Calibri"/>
          <w:color w:val="525866"/>
          <w:sz w:val="22"/>
        </w:rPr>
        <w:t>CME reported 140,000+ accounts trading event contracts in Q2, up 13% QoQ, with ADV up 40% vs. Q1 — further validation of the prediction markets category.</w:t>
      </w:r>
    </w:p>
    <w:p>
      <w:r>
        <w:rPr>
          <w:rFonts w:ascii="Calibri" w:hAnsi="Calibri"/>
          <w:i/>
          <w:color w:val="525866"/>
          <w:sz w:val="22"/>
        </w:rPr>
        <w:t>Source: CME Group Q2 2026 Earnings Call transcript, July 22,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Robinhood (HOOD) — Piper Sandler Global Exchange &amp; Fintech Conference (June 4,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color w:val="525866"/>
          <w:sz w:val="22"/>
        </w:rPr>
        <w:t>Positive for Q2 trading volumes; confirms strong April–May environment for COIN.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was HOOD’s second-highest month ever: </w:t>
      </w:r>
      <w:r>
        <w:rPr>
          <w:rFonts w:ascii="Calibri" w:hAnsi="Calibri"/>
          <w:color w:val="525866"/>
          <w:sz w:val="22"/>
        </w:rPr>
        <w:t>HOOD’s Chief Brokerage Officer noted April was the second-highest month in equity and options trading, and the highest month in futures and prediction markets. May was described as “very strong.” June 1 was HOOD’s biggest day ever in equity trading. This confirms a strong Q2 trading environment for COIN’s consumer business through at least early June.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Crypto take rate under pressure: </w:t>
      </w:r>
      <w:r>
        <w:rPr>
          <w:rFonts w:ascii="Calibri" w:hAnsi="Calibri"/>
          <w:color w:val="525866"/>
          <w:sz w:val="22"/>
        </w:rPr>
        <w:t>HOOD’s CFO (Bernstein conference, May 27) noted the crypto take rate in April was down ~7–8 bps vs. Q1, with casual traders stepping away. This is a negative read-through for COIN’s consumer crypto take rate in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Prediction markets at $300–$400M run rate: </w:t>
      </w:r>
      <w:r>
        <w:rPr>
          <w:rFonts w:ascii="Calibri" w:hAnsi="Calibri"/>
          <w:color w:val="525866"/>
          <w:sz w:val="22"/>
        </w:rPr>
        <w:t>HOOD’s prediction markets business was described as a “$300–$400M run rate business” at the Piper Sandler conference — validating COIN’s own prediction markets scaling narrative.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Perp appetite confirmed: </w:t>
      </w:r>
      <w:r>
        <w:rPr>
          <w:rFonts w:ascii="Calibri" w:hAnsi="Calibri"/>
          <w:color w:val="525866"/>
          <w:sz w:val="22"/>
        </w:rPr>
        <w:t>HOOD confirmed “a lot of interest in perps” and is evaluating U.S. launch via its Rothera JV — a competitive signal but also validation of the product category COIN is building through Deribit.</w:t>
      </w:r>
    </w:p>
    <w:p>
      <w:r>
        <w:rPr>
          <w:rFonts w:ascii="Calibri" w:hAnsi="Calibri"/>
          <w:i/>
          <w:color w:val="525866"/>
          <w:sz w:val="22"/>
        </w:rPr>
        <w:t>Sources: Robinhood Piper Sandler Global Exchange &amp; Fintech Conference transcript, June 4, 2026; Robinhood Bernstein Strategic Decisions Conference transcript, May 27,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Crypto Market Data — Q2 2026 Industry Context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21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Reading</w:t>
            </w:r>
          </w:p>
        </w:tc>
        <w:tc>
          <w:tcPr>
            <w:tcW w:type="dxa" w:w="21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QoQ Change</w:t>
            </w:r>
          </w:p>
        </w:tc>
        <w:tc>
          <w:tcPr>
            <w:tcW w:type="dxa" w:w="21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COIN Read-Through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Total Crypto Market Cap (end of Q2)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~$2.1T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-12.6%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Negative — lower AUC, lower staking/custody revenue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Bitcoin Price (avg. Q2)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~$76K (CLSK data)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-24% vs. Q1 avg. ~$100K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Negative — lower consumer trading revenue and staking rewards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Spot CEX Volume (Top 10)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$1.95T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-27.9%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Negative — primary driver of transaction revenue miss risk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Perp CEX Volume (Top 10)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$12.7T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-10.0%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Moderately negative — partially offset by Deribit contribution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Prediction Market Notional Volume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$113.8B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+48.7%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Positive — validates COIN’s prediction markets scaling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Spot Bitcoin ETF Net Flows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~-$4.89B net outflows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Negative vs. Q1 inflows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Negative — lower ETF custody AUC for COIN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Sources: 2026 Q2 Crypto Industry Report (Perplexity, July 21, 2026); Crypto Market Q2 2026 Review (July 13, 2026); CleanSpark Q2 2026 Earnings Call transcript.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the Q1 print is the </w:t>
      </w:r>
      <w:r>
        <w:rPr>
          <w:rFonts w:ascii="Calibri" w:hAnsi="Calibri"/>
          <w:b/>
          <w:color w:val="525866"/>
          <w:sz w:val="22"/>
        </w:rPr>
        <w:t>CLARITY Act’s Senate Banking Committee passage (May 14)</w:t>
      </w:r>
      <w:r>
        <w:rPr>
          <w:rFonts w:ascii="Calibri" w:hAnsi="Calibri"/>
          <w:color w:val="525866"/>
          <w:sz w:val="22"/>
        </w:rPr>
        <w:t>, which materially de-risks the regulatory overhang and could unlock institutional capital flows into crypto — but two senior leadership departures (CLO and CPO) and aggressive analyst price target cuts heading into the print are near-term headwinds.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23, 2026 — CPO Lawrence Brock departure announced (8-K): </w:t>
      </w:r>
      <w:r>
        <w:rPr>
          <w:rFonts w:ascii="Calibri" w:hAnsi="Calibri"/>
          <w:color w:val="525866"/>
          <w:sz w:val="22"/>
        </w:rPr>
        <w:t>Chief People Officer Lawrence Brock to depart; successor named. Coming just two weeks before earnings, this is the second C-suite departure in a month and adds leadership uncertainty. Implication: modest negative for sentiment; not a fundamental driver.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15, 2026 — Q2 2026 earnings date confirmed (press release): </w:t>
      </w:r>
      <w:r>
        <w:rPr>
          <w:rFonts w:ascii="Calibri" w:hAnsi="Calibri"/>
          <w:color w:val="525866"/>
          <w:sz w:val="22"/>
        </w:rPr>
        <w:t>Coinbase announced July 30, 2026 after market close as the Q2 reporting date, with a conference call at 2:00 PM PT.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9, 2026 — CLO Paul Grewal departure announced (8-K): </w:t>
      </w:r>
      <w:r>
        <w:rPr>
          <w:rFonts w:ascii="Calibri" w:hAnsi="Calibri"/>
          <w:color w:val="525866"/>
          <w:sz w:val="22"/>
        </w:rPr>
        <w:t>Chief Legal Officer Paul Grewal to depart; successor named. Grewal was a key architect of Coinbase’s regulatory strategy and was prominently featured on the Q1 earnings call discussing the CLARITY Act. Implication: negative for regulatory credibility optics, though the CLARITY Act process is well advanced.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2026 — Analyst price target cuts ahead of earnings: </w:t>
      </w:r>
      <w:r>
        <w:rPr>
          <w:rFonts w:ascii="Calibri" w:hAnsi="Calibri"/>
          <w:color w:val="525866"/>
          <w:sz w:val="22"/>
        </w:rPr>
        <w:t>Citi cut PT to $235 from $400 (July 23, reiterating Buy); JPMorgan cut PT to $196 from $283 (July 17, maintaining Overweight); Rosenblatt reiterated Buy at $240 PT; US Tiger Securities cut PT to $250 (Buy), projecting Q2 revenue of $1.22B (-14% QoQ, -19% YoY); Benchmark reiterated Buy at $270; Raymond James initiated at Market Perform with $158 fair value. Implication: broad-based PT cuts reflect the weak crypto backdrop; consensus average PT ~$223 still implies upside from current ~$160 level.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18, 2026 — Shareholders approve all director nominees, ratify auditor (8-K): </w:t>
      </w:r>
      <w:r>
        <w:rPr>
          <w:rFonts w:ascii="Calibri" w:hAnsi="Calibri"/>
          <w:color w:val="525866"/>
          <w:sz w:val="22"/>
        </w:rPr>
        <w:t>Routine governance event; no material implications.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14, 2026 — CLARITY Act passes Senate Banking Committee 15-9 (bipartisan): </w:t>
      </w:r>
      <w:r>
        <w:rPr>
          <w:rFonts w:ascii="Calibri" w:hAnsi="Calibri"/>
          <w:color w:val="525866"/>
          <w:sz w:val="22"/>
        </w:rPr>
        <w:t xml:space="preserve">Two Democrats joined all Republicans in a bipartisan vote. Next steps: Senate floor vote (60-vote threshold), House reconciliation, presidential signature targeted by end of summer. Stablecoin rewards compromise (activity-based rewards preserved, passive yield prohibited) included in final text. Implication: </w:t>
      </w:r>
      <w:r>
        <w:rPr>
          <w:rFonts w:ascii="Calibri" w:hAnsi="Calibri"/>
          <w:b/>
          <w:color w:val="525866"/>
          <w:sz w:val="22"/>
        </w:rPr>
        <w:t>most important positive catalyst since the Q1 print</w:t>
      </w:r>
      <w:r>
        <w:rPr>
          <w:rFonts w:ascii="Calibri" w:hAnsi="Calibri"/>
          <w:color w:val="525866"/>
          <w:sz w:val="22"/>
        </w:rPr>
        <w:t xml:space="preserve"> — management has described CLARITY as potentially unlocking the “90%” of digital asset trading not yet covered by the GENIUS Act.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7, 2026 — AI-native restructuring announced (~14% workforce reduction): </w:t>
      </w:r>
      <w:r>
        <w:rPr>
          <w:rFonts w:ascii="Calibri" w:hAnsi="Calibri"/>
          <w:color w:val="525866"/>
          <w:sz w:val="22"/>
        </w:rPr>
        <w:t>Announced alongside Q1 results; $50–$60M restructuring charges expected in Q2 as a stand-alone line item. Pull requests per engineer up ~80% YoY. Implication: one-time charge will weigh on GAAP net income but is excluded from adjusted EBITDA; signals commitment to cost discipline.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Q2 2026 — Hyperliquid USDC partnership: </w:t>
      </w:r>
      <w:r>
        <w:rPr>
          <w:rFonts w:ascii="Calibri" w:hAnsi="Calibri"/>
          <w:color w:val="525866"/>
          <w:sz w:val="22"/>
        </w:rPr>
        <w:t>Coinbase announced it would become the official USDC treasury deployer on Hyperliquid (one of the largest onchain perps platforms), where USDC supply has roughly doubled YoY to ~$5B. Implication: incremental stablecoin revenue and USDC network effects; positive for S&amp;S revenue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Q2 2026 — x402 protocol donated to Linux Foundation: </w:t>
      </w:r>
      <w:r>
        <w:rPr>
          <w:rFonts w:ascii="Calibri" w:hAnsi="Calibri"/>
          <w:color w:val="525866"/>
          <w:sz w:val="22"/>
        </w:rPr>
        <w:t>Broad industry adoption including AWS, Google, Stripe, Shopify, Cloudflare, Mastercard, Visa; AWS Amazon Bedrock AgentCore Payments integration announced (May 7). Over 100M payments processed. Implication: positions COIN as the infrastructure layer for agentic commerce; long-term positive but not a near-term revenue driver.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Q2 2026 — OCC national trust charter application: </w:t>
      </w:r>
      <w:r>
        <w:rPr>
          <w:rFonts w:ascii="Calibri" w:hAnsi="Calibri"/>
          <w:color w:val="525866"/>
          <w:sz w:val="22"/>
        </w:rPr>
        <w:t>Coinbase applied for an OCC national trust charter to enable federal jurisdiction for custody across increasing asset types. Implication: long-term positive for institutional custody expansion; no near-term revenue impact.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All insider transactions since the Q1 print are </w:t>
      </w:r>
      <w:r>
        <w:rPr>
          <w:rFonts w:ascii="Calibri" w:hAnsi="Calibri"/>
          <w:b/>
          <w:color w:val="525866"/>
          <w:sz w:val="22"/>
        </w:rPr>
        <w:t>10b5-1 planned sales</w:t>
      </w:r>
      <w:r>
        <w:rPr>
          <w:rFonts w:ascii="Calibri" w:hAnsi="Calibri"/>
          <w:color w:val="525866"/>
          <w:sz w:val="22"/>
        </w:rPr>
        <w:t xml:space="preserve"> — no open-market discretionary buys or sells — which limits the informational signal; the notable observation is that both departing executives (CLO Grewal and CPO Brock) sold shares under pre-planned programs shortly before their departures were announced, which is consistent with routine plan execution rather than a directional signal.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Shares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Approx. Value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Frederick R. Wilson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10,000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~$1.6M (est.)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July 1,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Pre-planned; sold via Delaware Trust; 20,000 shares remaining in trust post-sale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Frederick R. Wilson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10,000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~$1.9M (est.)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June 1,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Pre-planned; sold via Delaware Trust; recurring monthly plan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Paul Grewal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Chief Legal Officer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1,960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~$400K (est.)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27,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Pre-planned; direct ownership; sold ~6 weeks before departure announcement (July 9)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Lawrence J. Brock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Chief People Officer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6,616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~$1.3M (est.)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Pre-planned; direct ownership; sold ~2 months before departure announcement (July 23)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Alesia J. Haas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Chief Financial Officer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9,750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~$1.9M (est.)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15,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Pre-planned; direct ownership; 367,451 shares remaining; routine plan execution</w:t>
            </w:r>
          </w:p>
        </w:tc>
      </w:tr>
    </w:tbl>
    <w:p>
      <w:r>
        <w:rPr>
          <w:rFonts w:ascii="Calibri" w:hAnsi="Calibri"/>
          <w:color w:val="525866"/>
          <w:sz w:val="22"/>
        </w:rPr>
        <w:t>No open-market discretionary buys were filed in the period. All transactions are 10b5-1 pre-planned sales, which are obligation-driven and carry limited informational value regarding management’s near-term view on the stock. The absence of any open-market buying by insiders at depressed price levels (~$160, down ~17% from Q1 earnings) is notable but not unusual given the blackout period ahead of earnings.</w:t>
      </w:r>
    </w:p>
    <w:p>
      <w:r>
        <w:rPr>
          <w:rFonts w:ascii="Calibri" w:hAnsi="Calibri"/>
          <w:i/>
          <w:color w:val="525866"/>
          <w:sz w:val="22"/>
        </w:rPr>
        <w:t>Source: SEC Form 4 Filings / Insider Transaction Data. Filing date window: May 7, 2026 – July 30, 2026.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