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Coinbase Global, Inc. (COIN)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Coinbase Global, Inc.</w:t>
            </w:r>
          </w:p>
        </w:tc>
      </w:tr>
      <w:tr>
        <w:tc>
          <w:tcPr>
            <w:tcW w:type="dxa" w:w="4320"/>
          </w:tcPr>
          <w:p>
            <w:r>
              <w:rPr>
                <w:rFonts w:ascii="Calibri" w:hAnsi="Calibri"/>
                <w:b/>
                <w:sz w:val="22"/>
              </w:rPr>
              <w:t>Ticker</w:t>
            </w:r>
          </w:p>
        </w:tc>
        <w:tc>
          <w:tcPr>
            <w:tcW w:type="dxa" w:w="4320"/>
          </w:tcPr>
          <w:p>
            <w:r>
              <w:rPr>
                <w:rFonts w:ascii="Calibri" w:hAnsi="Calibri"/>
                <w:sz w:val="22"/>
              </w:rPr>
              <w:t>COIN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30, 2026 — 5:00 PM ET (after market close)</w:t>
            </w:r>
          </w:p>
        </w:tc>
      </w:tr>
      <w:tr>
        <w:tc>
          <w:tcPr>
            <w:tcW w:type="dxa" w:w="4320"/>
          </w:tcPr>
          <w:p>
            <w:r>
              <w:rPr>
                <w:rFonts w:ascii="Calibri" w:hAnsi="Calibri"/>
                <w:b/>
                <w:sz w:val="22"/>
              </w:rPr>
              <w:t>Prepared</w:t>
            </w:r>
          </w:p>
        </w:tc>
        <w:tc>
          <w:tcPr>
            <w:tcW w:type="dxa" w:w="4320"/>
          </w:tcPr>
          <w:p>
            <w:r>
              <w:rPr>
                <w:rFonts w:ascii="Calibri" w:hAnsi="Calibri"/>
                <w:sz w:val="22"/>
              </w:rPr>
              <w:t>July 29, 2026</w:t>
            </w:r>
          </w:p>
        </w:tc>
      </w:tr>
      <w:tr>
        <w:tc>
          <w:tcPr>
            <w:tcW w:type="dxa" w:w="4320"/>
          </w:tcPr>
          <w:p>
            <w:r>
              <w:rPr>
                <w:rFonts w:ascii="Calibri" w:hAnsi="Calibri"/>
                <w:b/>
                <w:sz w:val="22"/>
              </w:rPr>
              <w:t>Last Earnings</w:t>
            </w:r>
          </w:p>
        </w:tc>
        <w:tc>
          <w:tcPr>
            <w:tcW w:type="dxa" w:w="4320"/>
          </w:tcPr>
          <w:p>
            <w:r>
              <w:rPr>
                <w:rFonts w:ascii="Calibri" w:hAnsi="Calibri"/>
                <w:sz w:val="22"/>
              </w:rPr>
              <w:t>May 7, 2026 (Q1 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is a </w:t>
      </w:r>
      <w:r>
        <w:rPr>
          <w:rFonts w:ascii="Calibri" w:hAnsi="Calibri"/>
          <w:b/>
          <w:color w:val="525866"/>
          <w:sz w:val="22"/>
        </w:rPr>
        <w:t>low bar with meaningful downside risk</w:t>
      </w:r>
      <w:r>
        <w:rPr>
          <w:rFonts w:ascii="Calibri" w:hAnsi="Calibri"/>
          <w:color w:val="525866"/>
          <w:sz w:val="22"/>
        </w:rPr>
        <w:t xml:space="preserve"> — consensus has been cut aggressively since Q1 earnings, but Robinhood's Q2 crypto commentary ("a little bit slower than Q2") and prediction-market data suggesting a third consecutive volume decline make even the revised bar feel fragile; the single biggest swing factor is whether </w:t>
      </w:r>
      <w:r>
        <w:rPr>
          <w:rFonts w:ascii="Calibri" w:hAnsi="Calibri"/>
          <w:b/>
          <w:color w:val="525866"/>
          <w:sz w:val="22"/>
        </w:rPr>
        <w:t>transaction revenue can hold near $630M</w:t>
      </w:r>
      <w:r>
        <w:rPr>
          <w:rFonts w:ascii="Calibri" w:hAnsi="Calibri"/>
          <w:color w:val="525866"/>
          <w:sz w:val="22"/>
        </w:rPr>
        <w:t xml:space="preserve"> against a backdrop of declining crypto market cap and lower retail engagement.</w:t>
      </w:r>
    </w:p>
    <w:p>
      <w:r>
        <w:rPr>
          <w:rFonts w:ascii="Calibri" w:hAnsi="Calibri"/>
          <w:color w:val="525866"/>
          <w:sz w:val="22"/>
        </w:rPr>
        <w:t xml:space="preserve">Heading into Q2 2026 earnings, Coinbase faces a quarter defined by sharply lower crypto market activity relative to Q1. Total crypto market cap and trading volumes declined meaningfully through the quarter, and prediction-market data on Kalshi suggested traders were betting on a third consecutive volume decline — a signal the street has already partially priced in, with the Q2 net revenue consensus cut from ~$1.28B at the post-Q1 baseline to ~$1.22B today. Management's tone on the Q1 call was constructive on the structural story (Everything Exchange, AI-native restructuring, USDC growth) but offered no explicit Q2 transaction revenue guidance, leaving the bar set entirely by the street. Estimate revisions have been consistently negative since May 8, with operating EPS collapsing from $0.42 to -$0.13 — a dramatic move that reflects both lower volumes and the $50–60M restructuring charge expected as a standalone line item. The stock has declined ~17% since Q1 earnings (from $193 to ~$160), underperforming BITO and SPY, suggesting the market has partially de-risked but has not fully capitulated; at 17x NTM EV/EBITDA, the multiple has compressed modestly but remains elevated relative to the earnings trajectory. The wildcard is the </w:t>
      </w:r>
      <w:r>
        <w:rPr>
          <w:rFonts w:ascii="Calibri" w:hAnsi="Calibri"/>
          <w:b/>
          <w:color w:val="525866"/>
          <w:sz w:val="22"/>
        </w:rPr>
        <w:t>CLARITY Act</w:t>
      </w:r>
      <w:r>
        <w:rPr>
          <w:rFonts w:ascii="Calibri" w:hAnsi="Calibri"/>
          <w:color w:val="525866"/>
          <w:sz w:val="22"/>
        </w:rPr>
        <w:t xml:space="preserve"> — the Senate faces an August 7 recess deadline, and any credible signal of passage (or failure) could move the stock more than the print itself, given Coinbase's five-year lobbying investment in this legislation.</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low but fragile bar</w:t>
      </w:r>
      <w:r>
        <w:rPr>
          <w:rFonts w:ascii="Calibri" w:hAnsi="Calibri"/>
          <w:color w:val="525866"/>
          <w:sz w:val="22"/>
        </w:rPr>
        <w:t xml:space="preserve"> — estimates have been cut sharply since Q1 earnings, yet Robinhood's July commentary flagging softer crypto volumes and Kalshi prediction-market data pointing to a third consecutive volume decline suggest even the revised $1.22B revenue estimate carries downside risk. </w:t>
      </w:r>
      <w:r>
        <w:rPr>
          <w:rFonts w:ascii="Calibri" w:hAnsi="Calibri"/>
          <w:b/>
          <w:color w:val="525866"/>
          <w:sz w:val="22"/>
        </w:rPr>
        <w:t>Transaction revenue is the bigger swing factor</w:t>
      </w:r>
      <w:r>
        <w:rPr>
          <w:rFonts w:ascii="Calibri" w:hAnsi="Calibri"/>
          <w:color w:val="525866"/>
          <w:sz w:val="22"/>
        </w:rPr>
        <w:t>; subscription &amp; services revenue has a tighter guidance range ($565–$645M) and is more predictable.</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Net Revenue ($M)</w:t>
            </w:r>
          </w:p>
        </w:tc>
        <w:tc>
          <w:tcPr>
            <w:tcW w:type="dxa" w:w="1234"/>
          </w:tcPr>
          <w:p>
            <w:r>
              <w:rPr>
                <w:rFonts w:ascii="Calibri" w:hAnsi="Calibri"/>
                <w:sz w:val="22"/>
              </w:rPr>
              <w:t>$1,339</w:t>
            </w:r>
          </w:p>
        </w:tc>
        <w:tc>
          <w:tcPr>
            <w:tcW w:type="dxa" w:w="1234"/>
          </w:tcPr>
          <w:p>
            <w:r>
              <w:rPr>
                <w:rFonts w:ascii="Calibri" w:hAnsi="Calibri"/>
                <w:sz w:val="22"/>
              </w:rPr>
              <w:t>$1,396</w:t>
            </w:r>
          </w:p>
        </w:tc>
        <w:tc>
          <w:tcPr>
            <w:tcW w:type="dxa" w:w="1234"/>
          </w:tcPr>
          <w:p>
            <w:r>
              <w:rPr>
                <w:rFonts w:ascii="Calibri" w:hAnsi="Calibri"/>
                <w:sz w:val="22"/>
              </w:rPr>
              <w:t>$1,224</w:t>
            </w:r>
          </w:p>
        </w:tc>
        <w:tc>
          <w:tcPr>
            <w:tcW w:type="dxa" w:w="1234"/>
          </w:tcPr>
          <w:p>
            <w:r>
              <w:rPr>
                <w:rFonts w:ascii="Calibri" w:hAnsi="Calibri"/>
                <w:b/>
                <w:color w:val="E5484D"/>
                <w:sz w:val="22"/>
              </w:rPr>
              <w:t>-12.3%</w:t>
            </w:r>
          </w:p>
        </w:tc>
        <w:tc>
          <w:tcPr>
            <w:tcW w:type="dxa" w:w="1234"/>
          </w:tcPr>
          <w:p>
            <w:r>
              <w:rPr>
                <w:rFonts w:ascii="Calibri" w:hAnsi="Calibri"/>
                <w:sz w:val="22"/>
              </w:rPr>
              <w:t>No explicit guidance</w:t>
            </w:r>
          </w:p>
        </w:tc>
        <w:tc>
          <w:tcPr>
            <w:tcW w:type="dxa" w:w="1234"/>
          </w:tcPr>
          <w:p>
            <w:r>
              <w:rPr>
                <w:rFonts w:ascii="Calibri" w:hAnsi="Calibri"/>
                <w:sz w:val="22"/>
              </w:rPr>
              <w:t>N/A</w:t>
            </w:r>
          </w:p>
        </w:tc>
      </w:tr>
      <w:tr>
        <w:tc>
          <w:tcPr>
            <w:tcW w:type="dxa" w:w="1234"/>
          </w:tcPr>
          <w:p>
            <w:r>
              <w:rPr>
                <w:rFonts w:ascii="Calibri" w:hAnsi="Calibri"/>
                <w:sz w:val="22"/>
              </w:rPr>
              <w:t>Transaction Revenue ($M)</w:t>
            </w:r>
          </w:p>
        </w:tc>
        <w:tc>
          <w:tcPr>
            <w:tcW w:type="dxa" w:w="1234"/>
          </w:tcPr>
          <w:p>
            <w:r>
              <w:rPr>
                <w:rFonts w:ascii="Calibri" w:hAnsi="Calibri"/>
                <w:sz w:val="22"/>
              </w:rPr>
              <w:t>$756</w:t>
            </w:r>
          </w:p>
        </w:tc>
        <w:tc>
          <w:tcPr>
            <w:tcW w:type="dxa" w:w="1234"/>
          </w:tcPr>
          <w:p>
            <w:r>
              <w:rPr>
                <w:rFonts w:ascii="Calibri" w:hAnsi="Calibri"/>
                <w:sz w:val="22"/>
              </w:rPr>
              <w:t>$764</w:t>
            </w:r>
          </w:p>
        </w:tc>
        <w:tc>
          <w:tcPr>
            <w:tcW w:type="dxa" w:w="1234"/>
          </w:tcPr>
          <w:p>
            <w:r>
              <w:rPr>
                <w:rFonts w:ascii="Calibri" w:hAnsi="Calibri"/>
                <w:sz w:val="22"/>
              </w:rPr>
              <w:t>$632</w:t>
            </w:r>
          </w:p>
        </w:tc>
        <w:tc>
          <w:tcPr>
            <w:tcW w:type="dxa" w:w="1234"/>
          </w:tcPr>
          <w:p>
            <w:r>
              <w:rPr>
                <w:rFonts w:ascii="Calibri" w:hAnsi="Calibri"/>
                <w:b/>
                <w:color w:val="E5484D"/>
                <w:sz w:val="22"/>
              </w:rPr>
              <w:t>-17.3%</w:t>
            </w:r>
          </w:p>
        </w:tc>
        <w:tc>
          <w:tcPr>
            <w:tcW w:type="dxa" w:w="1234"/>
          </w:tcPr>
          <w:p>
            <w:r>
              <w:rPr>
                <w:rFonts w:ascii="Calibri" w:hAnsi="Calibri"/>
                <w:sz w:val="22"/>
              </w:rPr>
              <w:t>No explicit guidance</w:t>
            </w:r>
          </w:p>
        </w:tc>
        <w:tc>
          <w:tcPr>
            <w:tcW w:type="dxa" w:w="1234"/>
          </w:tcPr>
          <w:p>
            <w:r>
              <w:rPr>
                <w:rFonts w:ascii="Calibri" w:hAnsi="Calibri"/>
                <w:sz w:val="22"/>
              </w:rPr>
              <w:t>N/A</w:t>
            </w:r>
          </w:p>
        </w:tc>
      </w:tr>
      <w:tr>
        <w:tc>
          <w:tcPr>
            <w:tcW w:type="dxa" w:w="1234"/>
          </w:tcPr>
          <w:p>
            <w:r>
              <w:rPr>
                <w:rFonts w:ascii="Calibri" w:hAnsi="Calibri"/>
                <w:sz w:val="22"/>
              </w:rPr>
              <w:t>Subscription &amp; Services Revenue ($M)</w:t>
            </w:r>
          </w:p>
        </w:tc>
        <w:tc>
          <w:tcPr>
            <w:tcW w:type="dxa" w:w="1234"/>
          </w:tcPr>
          <w:p>
            <w:r>
              <w:rPr>
                <w:rFonts w:ascii="Calibri" w:hAnsi="Calibri"/>
                <w:sz w:val="22"/>
              </w:rPr>
              <w:t>$584</w:t>
            </w:r>
          </w:p>
        </w:tc>
        <w:tc>
          <w:tcPr>
            <w:tcW w:type="dxa" w:w="1234"/>
          </w:tcPr>
          <w:p>
            <w:r>
              <w:rPr>
                <w:rFonts w:ascii="Calibri" w:hAnsi="Calibri"/>
                <w:sz w:val="22"/>
              </w:rPr>
              <w:t>$632</w:t>
            </w:r>
          </w:p>
        </w:tc>
        <w:tc>
          <w:tcPr>
            <w:tcW w:type="dxa" w:w="1234"/>
          </w:tcPr>
          <w:p>
            <w:r>
              <w:rPr>
                <w:rFonts w:ascii="Calibri" w:hAnsi="Calibri"/>
                <w:sz w:val="22"/>
              </w:rPr>
              <w:t>$592</w:t>
            </w:r>
          </w:p>
        </w:tc>
        <w:tc>
          <w:tcPr>
            <w:tcW w:type="dxa" w:w="1234"/>
          </w:tcPr>
          <w:p>
            <w:r>
              <w:rPr>
                <w:rFonts w:ascii="Calibri" w:hAnsi="Calibri"/>
                <w:b/>
                <w:color w:val="E5484D"/>
                <w:sz w:val="22"/>
              </w:rPr>
              <w:t>-6.3%</w:t>
            </w:r>
          </w:p>
        </w:tc>
        <w:tc>
          <w:tcPr>
            <w:tcW w:type="dxa" w:w="1234"/>
          </w:tcPr>
          <w:p>
            <w:r>
              <w:rPr>
                <w:rFonts w:ascii="Calibri" w:hAnsi="Calibri"/>
                <w:sz w:val="22"/>
              </w:rPr>
              <w:t>$565M – $645M (midpoint $605M)</w:t>
            </w:r>
          </w:p>
        </w:tc>
        <w:tc>
          <w:tcPr>
            <w:tcW w:type="dxa" w:w="1234"/>
          </w:tcPr>
          <w:p>
            <w:r>
              <w:rPr>
                <w:rFonts w:ascii="Calibri" w:hAnsi="Calibri"/>
                <w:sz w:val="22"/>
              </w:rPr>
              <w:t>-2.1% below midpoint</w:t>
            </w:r>
          </w:p>
        </w:tc>
      </w:tr>
      <w:tr>
        <w:tc>
          <w:tcPr>
            <w:tcW w:type="dxa" w:w="1234"/>
          </w:tcPr>
          <w:p>
            <w:r>
              <w:rPr>
                <w:rFonts w:ascii="Calibri" w:hAnsi="Calibri"/>
                <w:sz w:val="22"/>
              </w:rPr>
              <w:t>Adjusted EBITDA ($M)</w:t>
            </w:r>
          </w:p>
        </w:tc>
        <w:tc>
          <w:tcPr>
            <w:tcW w:type="dxa" w:w="1234"/>
          </w:tcPr>
          <w:p>
            <w:r>
              <w:rPr>
                <w:rFonts w:ascii="Calibri" w:hAnsi="Calibri"/>
                <w:sz w:val="22"/>
              </w:rPr>
              <w:t>$303</w:t>
            </w:r>
          </w:p>
        </w:tc>
        <w:tc>
          <w:tcPr>
            <w:tcW w:type="dxa" w:w="1234"/>
          </w:tcPr>
          <w:p>
            <w:r>
              <w:rPr>
                <w:rFonts w:ascii="Calibri" w:hAnsi="Calibri"/>
                <w:sz w:val="22"/>
              </w:rPr>
              <w:t>$512</w:t>
            </w:r>
          </w:p>
        </w:tc>
        <w:tc>
          <w:tcPr>
            <w:tcW w:type="dxa" w:w="1234"/>
          </w:tcPr>
          <w:p>
            <w:r>
              <w:rPr>
                <w:rFonts w:ascii="Calibri" w:hAnsi="Calibri"/>
                <w:sz w:val="22"/>
              </w:rPr>
              <w:t>$326</w:t>
            </w:r>
          </w:p>
        </w:tc>
        <w:tc>
          <w:tcPr>
            <w:tcW w:type="dxa" w:w="1234"/>
          </w:tcPr>
          <w:p>
            <w:r>
              <w:rPr>
                <w:rFonts w:ascii="Calibri" w:hAnsi="Calibri"/>
                <w:b/>
                <w:color w:val="E5484D"/>
                <w:sz w:val="22"/>
              </w:rPr>
              <w:t>-36.3%</w:t>
            </w:r>
          </w:p>
        </w:tc>
        <w:tc>
          <w:tcPr>
            <w:tcW w:type="dxa" w:w="1234"/>
          </w:tcPr>
          <w:p>
            <w:r>
              <w:rPr>
                <w:rFonts w:ascii="Calibri" w:hAnsi="Calibri"/>
                <w:sz w:val="22"/>
              </w:rPr>
              <w:t>No explicit guidance</w:t>
            </w:r>
          </w:p>
        </w:tc>
        <w:tc>
          <w:tcPr>
            <w:tcW w:type="dxa" w:w="1234"/>
          </w:tcPr>
          <w:p>
            <w:r>
              <w:rPr>
                <w:rFonts w:ascii="Calibri" w:hAnsi="Calibri"/>
                <w:sz w:val="22"/>
              </w:rPr>
              <w:t>N/A</w:t>
            </w:r>
          </w:p>
        </w:tc>
      </w:tr>
      <w:tr>
        <w:tc>
          <w:tcPr>
            <w:tcW w:type="dxa" w:w="1234"/>
          </w:tcPr>
          <w:p>
            <w:r>
              <w:rPr>
                <w:rFonts w:ascii="Calibri" w:hAnsi="Calibri"/>
                <w:sz w:val="22"/>
              </w:rPr>
              <w:t>Operating EPS (Diluted, $)</w:t>
            </w:r>
          </w:p>
        </w:tc>
        <w:tc>
          <w:tcPr>
            <w:tcW w:type="dxa" w:w="1234"/>
          </w:tcPr>
          <w:p>
            <w:r>
              <w:rPr>
                <w:rFonts w:ascii="Calibri" w:hAnsi="Calibri"/>
                <w:sz w:val="22"/>
              </w:rPr>
              <w:t>-$0.17</w:t>
            </w:r>
          </w:p>
        </w:tc>
        <w:tc>
          <w:tcPr>
            <w:tcW w:type="dxa" w:w="1234"/>
          </w:tcPr>
          <w:p>
            <w:r>
              <w:rPr>
                <w:rFonts w:ascii="Calibri" w:hAnsi="Calibri"/>
                <w:sz w:val="22"/>
              </w:rPr>
              <w:t>$0.12</w:t>
            </w:r>
          </w:p>
        </w:tc>
        <w:tc>
          <w:tcPr>
            <w:tcW w:type="dxa" w:w="1234"/>
          </w:tcPr>
          <w:p>
            <w:r>
              <w:rPr>
                <w:rFonts w:ascii="Calibri" w:hAnsi="Calibri"/>
                <w:sz w:val="22"/>
              </w:rPr>
              <w:t>-$0.13</w:t>
            </w:r>
          </w:p>
        </w:tc>
        <w:tc>
          <w:tcPr>
            <w:tcW w:type="dxa" w:w="1234"/>
          </w:tcPr>
          <w:p>
            <w:r>
              <w:rPr>
                <w:rFonts w:ascii="Calibri" w:hAnsi="Calibri"/>
                <w:b/>
                <w:color w:val="E5484D"/>
                <w:sz w:val="22"/>
              </w:rPr>
              <w:t>N/M</w:t>
            </w:r>
          </w:p>
        </w:tc>
        <w:tc>
          <w:tcPr>
            <w:tcW w:type="dxa" w:w="1234"/>
          </w:tcPr>
          <w:p>
            <w:r>
              <w:rPr>
                <w:rFonts w:ascii="Calibri" w:hAnsi="Calibri"/>
                <w:sz w:val="22"/>
              </w:rPr>
              <w:t>No explicit guidance</w:t>
            </w:r>
          </w:p>
        </w:tc>
        <w:tc>
          <w:tcPr>
            <w:tcW w:type="dxa" w:w="1234"/>
          </w:tcPr>
          <w:p>
            <w:r>
              <w:rPr>
                <w:rFonts w:ascii="Calibri" w:hAnsi="Calibri"/>
                <w:sz w:val="22"/>
              </w:rPr>
              <w:t>N/A</w:t>
            </w:r>
          </w:p>
        </w:tc>
      </w:tr>
      <w:tr>
        <w:tc>
          <w:tcPr>
            <w:tcW w:type="dxa" w:w="1234"/>
          </w:tcPr>
          <w:p>
            <w:r>
              <w:rPr>
                <w:rFonts w:ascii="Calibri" w:hAnsi="Calibri"/>
                <w:sz w:val="22"/>
              </w:rPr>
              <w:t>Total Trading Volume ($B)</w:t>
            </w:r>
          </w:p>
        </w:tc>
        <w:tc>
          <w:tcPr>
            <w:tcW w:type="dxa" w:w="1234"/>
          </w:tcPr>
          <w:p>
            <w:r>
              <w:rPr>
                <w:rFonts w:ascii="Calibri" w:hAnsi="Calibri"/>
                <w:sz w:val="22"/>
              </w:rPr>
              <w:t>$202</w:t>
            </w:r>
          </w:p>
        </w:tc>
        <w:tc>
          <w:tcPr>
            <w:tcW w:type="dxa" w:w="1234"/>
          </w:tcPr>
          <w:p>
            <w:r>
              <w:rPr>
                <w:rFonts w:ascii="Calibri" w:hAnsi="Calibri"/>
                <w:sz w:val="22"/>
              </w:rPr>
              <w:t>$237</w:t>
            </w:r>
          </w:p>
        </w:tc>
        <w:tc>
          <w:tcPr>
            <w:tcW w:type="dxa" w:w="1234"/>
          </w:tcPr>
          <w:p>
            <w:r>
              <w:rPr>
                <w:rFonts w:ascii="Calibri" w:hAnsi="Calibri"/>
                <w:sz w:val="22"/>
              </w:rPr>
              <w:t>$175</w:t>
            </w:r>
          </w:p>
        </w:tc>
        <w:tc>
          <w:tcPr>
            <w:tcW w:type="dxa" w:w="1234"/>
          </w:tcPr>
          <w:p>
            <w:r>
              <w:rPr>
                <w:rFonts w:ascii="Calibri" w:hAnsi="Calibri"/>
                <w:b/>
                <w:color w:val="E5484D"/>
                <w:sz w:val="22"/>
              </w:rPr>
              <w:t>-26.2%</w:t>
            </w:r>
          </w:p>
        </w:tc>
        <w:tc>
          <w:tcPr>
            <w:tcW w:type="dxa" w:w="1234"/>
          </w:tcPr>
          <w:p>
            <w:r>
              <w:rPr>
                <w:rFonts w:ascii="Calibri" w:hAnsi="Calibri"/>
                <w:sz w:val="22"/>
              </w:rPr>
              <w:t>No explicit guidance</w:t>
            </w:r>
          </w:p>
        </w:tc>
        <w:tc>
          <w:tcPr>
            <w:tcW w:type="dxa" w:w="1234"/>
          </w:tcPr>
          <w:p>
            <w:r>
              <w:rPr>
                <w:rFonts w:ascii="Calibri" w:hAnsi="Calibri"/>
                <w:sz w:val="22"/>
              </w:rPr>
              <w:t>N/A</w:t>
            </w:r>
          </w:p>
        </w:tc>
      </w:tr>
      <w:tr>
        <w:tc>
          <w:tcPr>
            <w:tcW w:type="dxa" w:w="1234"/>
          </w:tcPr>
          <w:p>
            <w:r>
              <w:rPr>
                <w:rFonts w:ascii="Calibri" w:hAnsi="Calibri"/>
                <w:sz w:val="22"/>
              </w:rPr>
              <w:t>Monthly Transacting Users (MTUs, M)</w:t>
            </w:r>
          </w:p>
        </w:tc>
        <w:tc>
          <w:tcPr>
            <w:tcW w:type="dxa" w:w="1234"/>
          </w:tcPr>
          <w:p>
            <w:r>
              <w:rPr>
                <w:rFonts w:ascii="Calibri" w:hAnsi="Calibri"/>
                <w:sz w:val="22"/>
              </w:rPr>
              <w:t>8.2M</w:t>
            </w:r>
          </w:p>
        </w:tc>
        <w:tc>
          <w:tcPr>
            <w:tcW w:type="dxa" w:w="1234"/>
          </w:tcPr>
          <w:p>
            <w:r>
              <w:rPr>
                <w:rFonts w:ascii="Calibri" w:hAnsi="Calibri"/>
                <w:sz w:val="22"/>
              </w:rPr>
              <w:t>8.7M</w:t>
            </w:r>
          </w:p>
        </w:tc>
        <w:tc>
          <w:tcPr>
            <w:tcW w:type="dxa" w:w="1234"/>
          </w:tcPr>
          <w:p>
            <w:r>
              <w:rPr>
                <w:rFonts w:ascii="Calibri" w:hAnsi="Calibri"/>
                <w:sz w:val="22"/>
              </w:rPr>
              <w:t>8.3M</w:t>
            </w:r>
          </w:p>
        </w:tc>
        <w:tc>
          <w:tcPr>
            <w:tcW w:type="dxa" w:w="1234"/>
          </w:tcPr>
          <w:p>
            <w:r>
              <w:rPr>
                <w:rFonts w:ascii="Calibri" w:hAnsi="Calibri"/>
                <w:b/>
                <w:color w:val="E5484D"/>
                <w:sz w:val="22"/>
              </w:rPr>
              <w:t>-4.6%</w:t>
            </w:r>
          </w:p>
        </w:tc>
        <w:tc>
          <w:tcPr>
            <w:tcW w:type="dxa" w:w="1234"/>
          </w:tcPr>
          <w:p>
            <w:r>
              <w:rPr>
                <w:rFonts w:ascii="Calibri" w:hAnsi="Calibri"/>
                <w:sz w:val="22"/>
              </w:rPr>
              <w:t>No explicit guidance</w:t>
            </w:r>
          </w:p>
        </w:tc>
        <w:tc>
          <w:tcPr>
            <w:tcW w:type="dxa" w:w="1234"/>
          </w:tcPr>
          <w:p>
            <w:r>
              <w:rPr>
                <w:rFonts w:ascii="Calibri" w:hAnsi="Calibri"/>
                <w:sz w:val="22"/>
              </w:rPr>
              <w:t>N/A</w:t>
            </w:r>
          </w:p>
        </w:tc>
      </w:tr>
      <w:tr>
        <w:tc>
          <w:tcPr>
            <w:tcW w:type="dxa" w:w="1234"/>
          </w:tcPr>
          <w:p>
            <w:r>
              <w:rPr>
                <w:rFonts w:ascii="Calibri" w:hAnsi="Calibri"/>
                <w:sz w:val="22"/>
              </w:rPr>
              <w:t>Assets on Platform ($B)</w:t>
            </w:r>
          </w:p>
        </w:tc>
        <w:tc>
          <w:tcPr>
            <w:tcW w:type="dxa" w:w="1234"/>
          </w:tcPr>
          <w:p>
            <w:r>
              <w:rPr>
                <w:rFonts w:ascii="Calibri" w:hAnsi="Calibri"/>
                <w:sz w:val="22"/>
              </w:rPr>
              <w:t>$294</w:t>
            </w:r>
          </w:p>
        </w:tc>
        <w:tc>
          <w:tcPr>
            <w:tcW w:type="dxa" w:w="1234"/>
          </w:tcPr>
          <w:p>
            <w:r>
              <w:rPr>
                <w:rFonts w:ascii="Calibri" w:hAnsi="Calibri"/>
                <w:sz w:val="22"/>
              </w:rPr>
              <w:t>$425</w:t>
            </w:r>
          </w:p>
        </w:tc>
        <w:tc>
          <w:tcPr>
            <w:tcW w:type="dxa" w:w="1234"/>
          </w:tcPr>
          <w:p>
            <w:r>
              <w:rPr>
                <w:rFonts w:ascii="Calibri" w:hAnsi="Calibri"/>
                <w:sz w:val="22"/>
              </w:rPr>
              <w:t>$283</w:t>
            </w:r>
          </w:p>
        </w:tc>
        <w:tc>
          <w:tcPr>
            <w:tcW w:type="dxa" w:w="1234"/>
          </w:tcPr>
          <w:p>
            <w:r>
              <w:rPr>
                <w:rFonts w:ascii="Calibri" w:hAnsi="Calibri"/>
                <w:b/>
                <w:color w:val="E5484D"/>
                <w:sz w:val="22"/>
              </w:rPr>
              <w:t>-33.4%</w:t>
            </w:r>
          </w:p>
        </w:tc>
        <w:tc>
          <w:tcPr>
            <w:tcW w:type="dxa" w:w="1234"/>
          </w:tcPr>
          <w:p>
            <w:r>
              <w:rPr>
                <w:rFonts w:ascii="Calibri" w:hAnsi="Calibri"/>
                <w:sz w:val="22"/>
              </w:rPr>
              <w:t>No explicit guidance</w:t>
            </w:r>
          </w:p>
        </w:tc>
        <w:tc>
          <w:tcPr>
            <w:tcW w:type="dxa" w:w="1234"/>
          </w:tcPr>
          <w:p>
            <w:r>
              <w:rPr>
                <w:rFonts w:ascii="Calibri" w:hAnsi="Calibri"/>
                <w:sz w:val="22"/>
              </w:rPr>
              <w:t>N/A</w:t>
            </w:r>
          </w:p>
        </w:tc>
      </w:tr>
    </w:tbl>
    <w:p>
      <w:r>
        <w:rPr>
          <w:rFonts w:ascii="Calibri" w:hAnsi="Calibri"/>
          <w:i/>
          <w:color w:val="525866"/>
          <w:sz w:val="22"/>
        </w:rPr>
        <w:t>Sources: Visible Alpha Consensus and Actuals Data. All consensus figures as of July 29, 2026. Q2 2026 Subscription &amp; Services guidance provided on Q1 2026 earnings call (May 7, 2026). Operating EPS = EPS – Diluted – Operating. Note: Q1 2026 Operating EPS actual of -$0.17 reflects restructuring charges and unrealized crypto losses; Adjusted EBITDA remained positive at $303M.</w:t>
      </w:r>
    </w:p>
    <w:p>
      <w:pPr>
        <w:pStyle w:val="Heading3"/>
      </w:pPr>
      <w:r>
        <w:rPr>
          <w:rFonts w:ascii="Calibri" w:hAnsi="Calibri"/>
          <w:b/>
          <w:color w:val="3B4259"/>
          <w:sz w:val="24"/>
        </w:rPr>
        <w:t>Table 2 — Beat/Miss History: Last 8 Quarters (Top 2 KPIs: Transaction Revenue &amp; Adjusted EBITDA)</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 ($M)</w:t>
            </w:r>
          </w:p>
        </w:tc>
        <w:tc>
          <w:tcPr>
            <w:tcW w:type="dxa" w:w="1440"/>
            <w:shd w:val="clear" w:color="auto" w:fill="3B4259"/>
          </w:tcPr>
          <w:p>
            <w:r>
              <w:rPr>
                <w:rFonts w:ascii="Calibri" w:hAnsi="Calibri"/>
                <w:b/>
                <w:color w:val="FFFFFF"/>
                <w:sz w:val="22"/>
              </w:rPr>
              <w:t>Consensus ($M)</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Transaction Revenue</w:t>
            </w:r>
          </w:p>
        </w:tc>
        <w:tc>
          <w:tcPr>
            <w:tcW w:type="dxa" w:w="1440"/>
          </w:tcPr>
          <w:p>
            <w:r>
              <w:rPr>
                <w:rFonts w:ascii="Calibri" w:hAnsi="Calibri"/>
                <w:sz w:val="22"/>
              </w:rPr>
              <w:t>$756</w:t>
            </w:r>
          </w:p>
        </w:tc>
        <w:tc>
          <w:tcPr>
            <w:tcW w:type="dxa" w:w="1440"/>
          </w:tcPr>
          <w:p>
            <w:r>
              <w:rPr>
                <w:rFonts w:ascii="Calibri" w:hAnsi="Calibri"/>
                <w:sz w:val="22"/>
              </w:rPr>
              <w:t>$806</w:t>
            </w:r>
          </w:p>
        </w:tc>
        <w:tc>
          <w:tcPr>
            <w:tcW w:type="dxa" w:w="1440"/>
          </w:tcPr>
          <w:p>
            <w:r>
              <w:rPr>
                <w:rFonts w:ascii="Calibri" w:hAnsi="Calibri"/>
                <w:b/>
                <w:color w:val="E5484D"/>
                <w:sz w:val="22"/>
              </w:rPr>
              <w:t>-6.2%</w:t>
            </w:r>
          </w:p>
        </w:tc>
        <w:tc>
          <w:tcPr>
            <w:tcW w:type="dxa" w:w="1440"/>
          </w:tcPr>
          <w:p>
            <w:r>
              <w:rPr>
                <w:rFonts w:ascii="Calibri" w:hAnsi="Calibri"/>
                <w:sz w:val="22"/>
              </w:rPr>
              <w:t>MISS</w:t>
            </w:r>
          </w:p>
        </w:tc>
      </w:tr>
      <w:tr>
        <w:tc>
          <w:tcPr>
            <w:tcW w:type="dxa" w:w="1440"/>
          </w:tcPr>
          <w:p>
            <w:r>
              <w:rPr>
                <w:rFonts w:ascii="Calibri" w:hAnsi="Calibri"/>
                <w:sz w:val="22"/>
              </w:rPr>
              <w:t>Q1 2026</w:t>
            </w:r>
          </w:p>
        </w:tc>
        <w:tc>
          <w:tcPr>
            <w:tcW w:type="dxa" w:w="1440"/>
          </w:tcPr>
          <w:p>
            <w:r>
              <w:rPr>
                <w:rFonts w:ascii="Calibri" w:hAnsi="Calibri"/>
                <w:sz w:val="22"/>
              </w:rPr>
              <w:t>Adjusted EBITDA</w:t>
            </w:r>
          </w:p>
        </w:tc>
        <w:tc>
          <w:tcPr>
            <w:tcW w:type="dxa" w:w="1440"/>
          </w:tcPr>
          <w:p>
            <w:r>
              <w:rPr>
                <w:rFonts w:ascii="Calibri" w:hAnsi="Calibri"/>
                <w:sz w:val="22"/>
              </w:rPr>
              <w:t>$303</w:t>
            </w:r>
          </w:p>
        </w:tc>
        <w:tc>
          <w:tcPr>
            <w:tcW w:type="dxa" w:w="1440"/>
          </w:tcPr>
          <w:p>
            <w:r>
              <w:rPr>
                <w:rFonts w:ascii="Calibri" w:hAnsi="Calibri"/>
                <w:sz w:val="22"/>
              </w:rPr>
              <w:t>$415</w:t>
            </w:r>
          </w:p>
        </w:tc>
        <w:tc>
          <w:tcPr>
            <w:tcW w:type="dxa" w:w="1440"/>
          </w:tcPr>
          <w:p>
            <w:r>
              <w:rPr>
                <w:rFonts w:ascii="Calibri" w:hAnsi="Calibri"/>
                <w:b/>
                <w:color w:val="E5484D"/>
                <w:sz w:val="22"/>
              </w:rPr>
              <w:t>-26.9%</w:t>
            </w:r>
          </w:p>
        </w:tc>
        <w:tc>
          <w:tcPr>
            <w:tcW w:type="dxa" w:w="1440"/>
          </w:tcPr>
          <w:p>
            <w:r>
              <w:rPr>
                <w:rFonts w:ascii="Calibri" w:hAnsi="Calibri"/>
                <w:sz w:val="22"/>
              </w:rPr>
              <w:t>MISS</w:t>
            </w:r>
          </w:p>
        </w:tc>
      </w:tr>
      <w:tr>
        <w:tc>
          <w:tcPr>
            <w:tcW w:type="dxa" w:w="1440"/>
          </w:tcPr>
          <w:p>
            <w:r>
              <w:rPr>
                <w:rFonts w:ascii="Calibri" w:hAnsi="Calibri"/>
                <w:sz w:val="22"/>
              </w:rPr>
              <w:t>Q4 2025</w:t>
            </w:r>
          </w:p>
        </w:tc>
        <w:tc>
          <w:tcPr>
            <w:tcW w:type="dxa" w:w="1440"/>
          </w:tcPr>
          <w:p>
            <w:r>
              <w:rPr>
                <w:rFonts w:ascii="Calibri" w:hAnsi="Calibri"/>
                <w:sz w:val="22"/>
              </w:rPr>
              <w:t>Transaction Revenue</w:t>
            </w:r>
          </w:p>
        </w:tc>
        <w:tc>
          <w:tcPr>
            <w:tcW w:type="dxa" w:w="1440"/>
          </w:tcPr>
          <w:p>
            <w:r>
              <w:rPr>
                <w:rFonts w:ascii="Calibri" w:hAnsi="Calibri"/>
                <w:sz w:val="22"/>
              </w:rPr>
              <w:t>$983</w:t>
            </w:r>
          </w:p>
        </w:tc>
        <w:tc>
          <w:tcPr>
            <w:tcW w:type="dxa" w:w="1440"/>
          </w:tcPr>
          <w:p>
            <w:r>
              <w:rPr>
                <w:rFonts w:ascii="Calibri" w:hAnsi="Calibri"/>
                <w:sz w:val="22"/>
              </w:rPr>
              <w:t>$991</w:t>
            </w:r>
          </w:p>
        </w:tc>
        <w:tc>
          <w:tcPr>
            <w:tcW w:type="dxa" w:w="1440"/>
          </w:tcPr>
          <w:p>
            <w:r>
              <w:rPr>
                <w:rFonts w:ascii="Calibri" w:hAnsi="Calibri"/>
                <w:sz w:val="22"/>
              </w:rPr>
              <w:t>-0.8%</w:t>
            </w:r>
          </w:p>
        </w:tc>
        <w:tc>
          <w:tcPr>
            <w:tcW w:type="dxa" w:w="1440"/>
          </w:tcPr>
          <w:p>
            <w:r>
              <w:rPr>
                <w:rFonts w:ascii="Calibri" w:hAnsi="Calibri"/>
                <w:sz w:val="22"/>
              </w:rPr>
              <w:t>INLINE</w:t>
            </w:r>
          </w:p>
        </w:tc>
      </w:tr>
      <w:tr>
        <w:tc>
          <w:tcPr>
            <w:tcW w:type="dxa" w:w="1440"/>
          </w:tcPr>
          <w:p>
            <w:r>
              <w:rPr>
                <w:rFonts w:ascii="Calibri" w:hAnsi="Calibri"/>
                <w:sz w:val="22"/>
              </w:rPr>
              <w:t>Q4 2025</w:t>
            </w:r>
          </w:p>
        </w:tc>
        <w:tc>
          <w:tcPr>
            <w:tcW w:type="dxa" w:w="1440"/>
          </w:tcPr>
          <w:p>
            <w:r>
              <w:rPr>
                <w:rFonts w:ascii="Calibri" w:hAnsi="Calibri"/>
                <w:sz w:val="22"/>
              </w:rPr>
              <w:t>Adjusted EBITDA</w:t>
            </w:r>
          </w:p>
        </w:tc>
        <w:tc>
          <w:tcPr>
            <w:tcW w:type="dxa" w:w="1440"/>
          </w:tcPr>
          <w:p>
            <w:r>
              <w:rPr>
                <w:rFonts w:ascii="Calibri" w:hAnsi="Calibri"/>
                <w:sz w:val="22"/>
              </w:rPr>
              <w:t>$566</w:t>
            </w:r>
          </w:p>
        </w:tc>
        <w:tc>
          <w:tcPr>
            <w:tcW w:type="dxa" w:w="1440"/>
          </w:tcPr>
          <w:p>
            <w:r>
              <w:rPr>
                <w:rFonts w:ascii="Calibri" w:hAnsi="Calibri"/>
                <w:sz w:val="22"/>
              </w:rPr>
              <w:t>$633</w:t>
            </w:r>
          </w:p>
        </w:tc>
        <w:tc>
          <w:tcPr>
            <w:tcW w:type="dxa" w:w="1440"/>
          </w:tcPr>
          <w:p>
            <w:r>
              <w:rPr>
                <w:rFonts w:ascii="Calibri" w:hAnsi="Calibri"/>
                <w:b/>
                <w:color w:val="E5484D"/>
                <w:sz w:val="22"/>
              </w:rPr>
              <w:t>-10.6%</w:t>
            </w:r>
          </w:p>
        </w:tc>
        <w:tc>
          <w:tcPr>
            <w:tcW w:type="dxa" w:w="1440"/>
          </w:tcPr>
          <w:p>
            <w:r>
              <w:rPr>
                <w:rFonts w:ascii="Calibri" w:hAnsi="Calibri"/>
                <w:sz w:val="22"/>
              </w:rPr>
              <w:t>MISS</w:t>
            </w:r>
          </w:p>
        </w:tc>
      </w:tr>
      <w:tr>
        <w:tc>
          <w:tcPr>
            <w:tcW w:type="dxa" w:w="1440"/>
          </w:tcPr>
          <w:p>
            <w:r>
              <w:rPr>
                <w:rFonts w:ascii="Calibri" w:hAnsi="Calibri"/>
                <w:sz w:val="22"/>
              </w:rPr>
              <w:t>Q3 2025</w:t>
            </w:r>
          </w:p>
        </w:tc>
        <w:tc>
          <w:tcPr>
            <w:tcW w:type="dxa" w:w="1440"/>
          </w:tcPr>
          <w:p>
            <w:r>
              <w:rPr>
                <w:rFonts w:ascii="Calibri" w:hAnsi="Calibri"/>
                <w:sz w:val="22"/>
              </w:rPr>
              <w:t>Transaction Revenue</w:t>
            </w:r>
          </w:p>
        </w:tc>
        <w:tc>
          <w:tcPr>
            <w:tcW w:type="dxa" w:w="1440"/>
          </w:tcPr>
          <w:p>
            <w:r>
              <w:rPr>
                <w:rFonts w:ascii="Calibri" w:hAnsi="Calibri"/>
                <w:sz w:val="22"/>
              </w:rPr>
              <w:t>$1,046</w:t>
            </w:r>
          </w:p>
        </w:tc>
        <w:tc>
          <w:tcPr>
            <w:tcW w:type="dxa" w:w="1440"/>
          </w:tcPr>
          <w:p>
            <w:r>
              <w:rPr>
                <w:rFonts w:ascii="Calibri" w:hAnsi="Calibri"/>
                <w:sz w:val="22"/>
              </w:rPr>
              <w:t>$973</w:t>
            </w:r>
          </w:p>
        </w:tc>
        <w:tc>
          <w:tcPr>
            <w:tcW w:type="dxa" w:w="1440"/>
          </w:tcPr>
          <w:p>
            <w:r>
              <w:rPr>
                <w:rFonts w:ascii="Calibri" w:hAnsi="Calibri"/>
                <w:b/>
                <w:color w:val="30A46C"/>
                <w:sz w:val="22"/>
              </w:rPr>
              <w:t>+7.5%</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Adjusted EBITDA</w:t>
            </w:r>
          </w:p>
        </w:tc>
        <w:tc>
          <w:tcPr>
            <w:tcW w:type="dxa" w:w="1440"/>
          </w:tcPr>
          <w:p>
            <w:r>
              <w:rPr>
                <w:rFonts w:ascii="Calibri" w:hAnsi="Calibri"/>
                <w:sz w:val="22"/>
              </w:rPr>
              <w:t>$801</w:t>
            </w:r>
          </w:p>
        </w:tc>
        <w:tc>
          <w:tcPr>
            <w:tcW w:type="dxa" w:w="1440"/>
          </w:tcPr>
          <w:p>
            <w:r>
              <w:rPr>
                <w:rFonts w:ascii="Calibri" w:hAnsi="Calibri"/>
                <w:sz w:val="22"/>
              </w:rPr>
              <w:t>$700</w:t>
            </w:r>
          </w:p>
        </w:tc>
        <w:tc>
          <w:tcPr>
            <w:tcW w:type="dxa" w:w="1440"/>
          </w:tcPr>
          <w:p>
            <w:r>
              <w:rPr>
                <w:rFonts w:ascii="Calibri" w:hAnsi="Calibri"/>
                <w:b/>
                <w:color w:val="30A46C"/>
                <w:sz w:val="22"/>
              </w:rPr>
              <w:t>+14.4%</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Transaction Revenue</w:t>
            </w:r>
          </w:p>
        </w:tc>
        <w:tc>
          <w:tcPr>
            <w:tcW w:type="dxa" w:w="1440"/>
          </w:tcPr>
          <w:p>
            <w:r>
              <w:rPr>
                <w:rFonts w:ascii="Calibri" w:hAnsi="Calibri"/>
                <w:sz w:val="22"/>
              </w:rPr>
              <w:t>$764</w:t>
            </w:r>
          </w:p>
        </w:tc>
        <w:tc>
          <w:tcPr>
            <w:tcW w:type="dxa" w:w="1440"/>
          </w:tcPr>
          <w:p>
            <w:r>
              <w:rPr>
                <w:rFonts w:ascii="Calibri" w:hAnsi="Calibri"/>
                <w:sz w:val="22"/>
              </w:rPr>
              <w:t>$793</w:t>
            </w:r>
          </w:p>
        </w:tc>
        <w:tc>
          <w:tcPr>
            <w:tcW w:type="dxa" w:w="1440"/>
          </w:tcPr>
          <w:p>
            <w:r>
              <w:rPr>
                <w:rFonts w:ascii="Calibri" w:hAnsi="Calibri"/>
                <w:b/>
                <w:color w:val="E5484D"/>
                <w:sz w:val="22"/>
              </w:rPr>
              <w:t>-3.7%</w:t>
            </w:r>
          </w:p>
        </w:tc>
        <w:tc>
          <w:tcPr>
            <w:tcW w:type="dxa" w:w="1440"/>
          </w:tcPr>
          <w:p>
            <w:r>
              <w:rPr>
                <w:rFonts w:ascii="Calibri" w:hAnsi="Calibri"/>
                <w:sz w:val="22"/>
              </w:rPr>
              <w:t>MISS</w:t>
            </w:r>
          </w:p>
        </w:tc>
      </w:tr>
      <w:tr>
        <w:tc>
          <w:tcPr>
            <w:tcW w:type="dxa" w:w="1440"/>
          </w:tcPr>
          <w:p>
            <w:r>
              <w:rPr>
                <w:rFonts w:ascii="Calibri" w:hAnsi="Calibri"/>
                <w:sz w:val="22"/>
              </w:rPr>
              <w:t>Q2 2025</w:t>
            </w:r>
          </w:p>
        </w:tc>
        <w:tc>
          <w:tcPr>
            <w:tcW w:type="dxa" w:w="1440"/>
          </w:tcPr>
          <w:p>
            <w:r>
              <w:rPr>
                <w:rFonts w:ascii="Calibri" w:hAnsi="Calibri"/>
                <w:sz w:val="22"/>
              </w:rPr>
              <w:t>Adjusted EBITDA</w:t>
            </w:r>
          </w:p>
        </w:tc>
        <w:tc>
          <w:tcPr>
            <w:tcW w:type="dxa" w:w="1440"/>
          </w:tcPr>
          <w:p>
            <w:r>
              <w:rPr>
                <w:rFonts w:ascii="Calibri" w:hAnsi="Calibri"/>
                <w:sz w:val="22"/>
              </w:rPr>
              <w:t>$512</w:t>
            </w:r>
          </w:p>
        </w:tc>
        <w:tc>
          <w:tcPr>
            <w:tcW w:type="dxa" w:w="1440"/>
          </w:tcPr>
          <w:p>
            <w:r>
              <w:rPr>
                <w:rFonts w:ascii="Calibri" w:hAnsi="Calibri"/>
                <w:sz w:val="22"/>
              </w:rPr>
              <w:t>$567</w:t>
            </w:r>
          </w:p>
        </w:tc>
        <w:tc>
          <w:tcPr>
            <w:tcW w:type="dxa" w:w="1440"/>
          </w:tcPr>
          <w:p>
            <w:r>
              <w:rPr>
                <w:rFonts w:ascii="Calibri" w:hAnsi="Calibri"/>
                <w:b/>
                <w:color w:val="E5484D"/>
                <w:sz w:val="22"/>
              </w:rPr>
              <w:t>-9.7%</w:t>
            </w:r>
          </w:p>
        </w:tc>
        <w:tc>
          <w:tcPr>
            <w:tcW w:type="dxa" w:w="1440"/>
          </w:tcPr>
          <w:p>
            <w:r>
              <w:rPr>
                <w:rFonts w:ascii="Calibri" w:hAnsi="Calibri"/>
                <w:sz w:val="22"/>
              </w:rPr>
              <w:t>MISS</w:t>
            </w:r>
          </w:p>
        </w:tc>
      </w:tr>
      <w:tr>
        <w:tc>
          <w:tcPr>
            <w:tcW w:type="dxa" w:w="1440"/>
          </w:tcPr>
          <w:p>
            <w:r>
              <w:rPr>
                <w:rFonts w:ascii="Calibri" w:hAnsi="Calibri"/>
                <w:sz w:val="22"/>
              </w:rPr>
              <w:t>Q1 2025</w:t>
            </w:r>
          </w:p>
        </w:tc>
        <w:tc>
          <w:tcPr>
            <w:tcW w:type="dxa" w:w="1440"/>
          </w:tcPr>
          <w:p>
            <w:r>
              <w:rPr>
                <w:rFonts w:ascii="Calibri" w:hAnsi="Calibri"/>
                <w:sz w:val="22"/>
              </w:rPr>
              <w:t>Transaction Revenue</w:t>
            </w:r>
          </w:p>
        </w:tc>
        <w:tc>
          <w:tcPr>
            <w:tcW w:type="dxa" w:w="1440"/>
          </w:tcPr>
          <w:p>
            <w:r>
              <w:rPr>
                <w:rFonts w:ascii="Calibri" w:hAnsi="Calibri"/>
                <w:sz w:val="22"/>
              </w:rPr>
              <w:t>$1,262</w:t>
            </w:r>
          </w:p>
        </w:tc>
        <w:tc>
          <w:tcPr>
            <w:tcW w:type="dxa" w:w="1440"/>
          </w:tcPr>
          <w:p>
            <w:r>
              <w:rPr>
                <w:rFonts w:ascii="Calibri" w:hAnsi="Calibri"/>
                <w:sz w:val="22"/>
              </w:rPr>
              <w:t>$1,309</w:t>
            </w:r>
          </w:p>
        </w:tc>
        <w:tc>
          <w:tcPr>
            <w:tcW w:type="dxa" w:w="1440"/>
          </w:tcPr>
          <w:p>
            <w:r>
              <w:rPr>
                <w:rFonts w:ascii="Calibri" w:hAnsi="Calibri"/>
                <w:b/>
                <w:color w:val="E5484D"/>
                <w:sz w:val="22"/>
              </w:rPr>
              <w:t>-3.6%</w:t>
            </w:r>
          </w:p>
        </w:tc>
        <w:tc>
          <w:tcPr>
            <w:tcW w:type="dxa" w:w="1440"/>
          </w:tcPr>
          <w:p>
            <w:r>
              <w:rPr>
                <w:rFonts w:ascii="Calibri" w:hAnsi="Calibri"/>
                <w:sz w:val="22"/>
              </w:rPr>
              <w:t>MISS</w:t>
            </w:r>
          </w:p>
        </w:tc>
      </w:tr>
      <w:tr>
        <w:tc>
          <w:tcPr>
            <w:tcW w:type="dxa" w:w="1440"/>
          </w:tcPr>
          <w:p>
            <w:r>
              <w:rPr>
                <w:rFonts w:ascii="Calibri" w:hAnsi="Calibri"/>
                <w:sz w:val="22"/>
              </w:rPr>
              <w:t>Q1 2025</w:t>
            </w:r>
          </w:p>
        </w:tc>
        <w:tc>
          <w:tcPr>
            <w:tcW w:type="dxa" w:w="1440"/>
          </w:tcPr>
          <w:p>
            <w:r>
              <w:rPr>
                <w:rFonts w:ascii="Calibri" w:hAnsi="Calibri"/>
                <w:sz w:val="22"/>
              </w:rPr>
              <w:t>Adjusted EBITDA</w:t>
            </w:r>
          </w:p>
        </w:tc>
        <w:tc>
          <w:tcPr>
            <w:tcW w:type="dxa" w:w="1440"/>
          </w:tcPr>
          <w:p>
            <w:r>
              <w:rPr>
                <w:rFonts w:ascii="Calibri" w:hAnsi="Calibri"/>
                <w:sz w:val="22"/>
              </w:rPr>
              <w:t>$930</w:t>
            </w:r>
          </w:p>
        </w:tc>
        <w:tc>
          <w:tcPr>
            <w:tcW w:type="dxa" w:w="1440"/>
          </w:tcPr>
          <w:p>
            <w:r>
              <w:rPr>
                <w:rFonts w:ascii="Calibri" w:hAnsi="Calibri"/>
                <w:sz w:val="22"/>
              </w:rPr>
              <w:t>$933</w:t>
            </w:r>
          </w:p>
        </w:tc>
        <w:tc>
          <w:tcPr>
            <w:tcW w:type="dxa" w:w="1440"/>
          </w:tcPr>
          <w:p>
            <w:r>
              <w:rPr>
                <w:rFonts w:ascii="Calibri" w:hAnsi="Calibri"/>
                <w:sz w:val="22"/>
              </w:rPr>
              <w:t>-0.3%</w:t>
            </w:r>
          </w:p>
        </w:tc>
        <w:tc>
          <w:tcPr>
            <w:tcW w:type="dxa" w:w="1440"/>
          </w:tcPr>
          <w:p>
            <w:r>
              <w:rPr>
                <w:rFonts w:ascii="Calibri" w:hAnsi="Calibri"/>
                <w:sz w:val="22"/>
              </w:rPr>
              <w:t>INLINE</w:t>
            </w:r>
          </w:p>
        </w:tc>
      </w:tr>
      <w:tr>
        <w:tc>
          <w:tcPr>
            <w:tcW w:type="dxa" w:w="1440"/>
          </w:tcPr>
          <w:p>
            <w:r>
              <w:rPr>
                <w:rFonts w:ascii="Calibri" w:hAnsi="Calibri"/>
                <w:sz w:val="22"/>
              </w:rPr>
              <w:t>Q4 2024</w:t>
            </w:r>
          </w:p>
        </w:tc>
        <w:tc>
          <w:tcPr>
            <w:tcW w:type="dxa" w:w="1440"/>
          </w:tcPr>
          <w:p>
            <w:r>
              <w:rPr>
                <w:rFonts w:ascii="Calibri" w:hAnsi="Calibri"/>
                <w:sz w:val="22"/>
              </w:rPr>
              <w:t>Transaction Revenue</w:t>
            </w:r>
          </w:p>
        </w:tc>
        <w:tc>
          <w:tcPr>
            <w:tcW w:type="dxa" w:w="1440"/>
          </w:tcPr>
          <w:p>
            <w:r>
              <w:rPr>
                <w:rFonts w:ascii="Calibri" w:hAnsi="Calibri"/>
                <w:sz w:val="22"/>
              </w:rPr>
              <w:t>$1,556</w:t>
            </w:r>
          </w:p>
        </w:tc>
        <w:tc>
          <w:tcPr>
            <w:tcW w:type="dxa" w:w="1440"/>
          </w:tcPr>
          <w:p>
            <w:r>
              <w:rPr>
                <w:rFonts w:ascii="Calibri" w:hAnsi="Calibri"/>
                <w:sz w:val="22"/>
              </w:rPr>
              <w:t>$1,189</w:t>
            </w:r>
          </w:p>
        </w:tc>
        <w:tc>
          <w:tcPr>
            <w:tcW w:type="dxa" w:w="1440"/>
          </w:tcPr>
          <w:p>
            <w:r>
              <w:rPr>
                <w:rFonts w:ascii="Calibri" w:hAnsi="Calibri"/>
                <w:b/>
                <w:color w:val="30A46C"/>
                <w:sz w:val="22"/>
              </w:rPr>
              <w:t>+30.9%</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Adjusted EBITDA</w:t>
            </w:r>
          </w:p>
        </w:tc>
        <w:tc>
          <w:tcPr>
            <w:tcW w:type="dxa" w:w="1440"/>
          </w:tcPr>
          <w:p>
            <w:r>
              <w:rPr>
                <w:rFonts w:ascii="Calibri" w:hAnsi="Calibri"/>
                <w:sz w:val="22"/>
              </w:rPr>
              <w:t>$1,289</w:t>
            </w:r>
          </w:p>
        </w:tc>
        <w:tc>
          <w:tcPr>
            <w:tcW w:type="dxa" w:w="1440"/>
          </w:tcPr>
          <w:p>
            <w:r>
              <w:rPr>
                <w:rFonts w:ascii="Calibri" w:hAnsi="Calibri"/>
                <w:sz w:val="22"/>
              </w:rPr>
              <w:t>$870</w:t>
            </w:r>
          </w:p>
        </w:tc>
        <w:tc>
          <w:tcPr>
            <w:tcW w:type="dxa" w:w="1440"/>
          </w:tcPr>
          <w:p>
            <w:r>
              <w:rPr>
                <w:rFonts w:ascii="Calibri" w:hAnsi="Calibri"/>
                <w:b/>
                <w:color w:val="30A46C"/>
                <w:sz w:val="22"/>
              </w:rPr>
              <w:t>+48.2%</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Transaction Revenue</w:t>
            </w:r>
          </w:p>
        </w:tc>
        <w:tc>
          <w:tcPr>
            <w:tcW w:type="dxa" w:w="1440"/>
          </w:tcPr>
          <w:p>
            <w:r>
              <w:rPr>
                <w:rFonts w:ascii="Calibri" w:hAnsi="Calibri"/>
                <w:sz w:val="22"/>
              </w:rPr>
              <w:t>$573</w:t>
            </w:r>
          </w:p>
        </w:tc>
        <w:tc>
          <w:tcPr>
            <w:tcW w:type="dxa" w:w="1440"/>
          </w:tcPr>
          <w:p>
            <w:r>
              <w:rPr>
                <w:rFonts w:ascii="Calibri" w:hAnsi="Calibri"/>
                <w:sz w:val="22"/>
              </w:rPr>
              <w:t>$619</w:t>
            </w:r>
          </w:p>
        </w:tc>
        <w:tc>
          <w:tcPr>
            <w:tcW w:type="dxa" w:w="1440"/>
          </w:tcPr>
          <w:p>
            <w:r>
              <w:rPr>
                <w:rFonts w:ascii="Calibri" w:hAnsi="Calibri"/>
                <w:b/>
                <w:color w:val="E5484D"/>
                <w:sz w:val="22"/>
              </w:rPr>
              <w:t>-7.4%</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Adjusted EBITDA</w:t>
            </w:r>
          </w:p>
        </w:tc>
        <w:tc>
          <w:tcPr>
            <w:tcW w:type="dxa" w:w="1440"/>
          </w:tcPr>
          <w:p>
            <w:r>
              <w:rPr>
                <w:rFonts w:ascii="Calibri" w:hAnsi="Calibri"/>
                <w:sz w:val="22"/>
              </w:rPr>
              <w:t>$449</w:t>
            </w:r>
          </w:p>
        </w:tc>
        <w:tc>
          <w:tcPr>
            <w:tcW w:type="dxa" w:w="1440"/>
          </w:tcPr>
          <w:p>
            <w:r>
              <w:rPr>
                <w:rFonts w:ascii="Calibri" w:hAnsi="Calibri"/>
                <w:sz w:val="22"/>
              </w:rPr>
              <w:t>$443</w:t>
            </w:r>
          </w:p>
        </w:tc>
        <w:tc>
          <w:tcPr>
            <w:tcW w:type="dxa" w:w="1440"/>
          </w:tcPr>
          <w:p>
            <w:r>
              <w:rPr>
                <w:rFonts w:ascii="Calibri" w:hAnsi="Calibri"/>
                <w:b/>
                <w:color w:val="30A46C"/>
                <w:sz w:val="22"/>
              </w:rPr>
              <w:t>+1.3%</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Transaction Revenue</w:t>
            </w:r>
          </w:p>
        </w:tc>
        <w:tc>
          <w:tcPr>
            <w:tcW w:type="dxa" w:w="1440"/>
          </w:tcPr>
          <w:p>
            <w:r>
              <w:rPr>
                <w:rFonts w:ascii="Calibri" w:hAnsi="Calibri"/>
                <w:sz w:val="22"/>
              </w:rPr>
              <w:t>$N/A — pre-VA coverage</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Q2 2024</w:t>
            </w:r>
          </w:p>
        </w:tc>
        <w:tc>
          <w:tcPr>
            <w:tcW w:type="dxa" w:w="1440"/>
          </w:tcPr>
          <w:p>
            <w:r>
              <w:rPr>
                <w:rFonts w:ascii="Calibri" w:hAnsi="Calibri"/>
                <w:sz w:val="22"/>
              </w:rPr>
              <w:t>Adjusted EBITDA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cut sharply and continuously since Q1 earnings — Q2 net revenue is down ~4.5% from the post-print baseline and operating EPS has collapsed from +$0.42 to -$0.13, a swing of ~$0.55. Full-year 2026 estimates have also been cut materially. </w:t>
      </w:r>
      <w:r>
        <w:rPr>
          <w:rFonts w:ascii="Calibri" w:hAnsi="Calibri"/>
          <w:b/>
          <w:color w:val="525866"/>
          <w:sz w:val="22"/>
        </w:rPr>
        <w:t>Estimates are tracking well below guidance on transaction revenue</w:t>
      </w:r>
      <w:r>
        <w:rPr>
          <w:rFonts w:ascii="Calibri" w:hAnsi="Calibri"/>
          <w:color w:val="525866"/>
          <w:sz w:val="22"/>
        </w:rPr>
        <w:t xml:space="preserve"> (where no guidance was given), while subscription &amp; services consensus sits modestly below the guidance midpoint — the gap represents modest cushion on S&amp;S but meaningful risk on the transaction side.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8, 2026)</w:t>
            </w:r>
          </w:p>
        </w:tc>
        <w:tc>
          <w:tcPr>
            <w:tcW w:type="dxa" w:w="1080"/>
            <w:shd w:val="clear" w:color="auto" w:fill="3B4259"/>
          </w:tcPr>
          <w:p>
            <w:r>
              <w:rPr>
                <w:rFonts w:ascii="Calibri" w:hAnsi="Calibri"/>
                <w:b/>
                <w:color w:val="FFFFFF"/>
                <w:sz w:val="22"/>
              </w:rPr>
              <w:t>Current Consensus (July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Net Revenue (Q2 2026)</w:t>
            </w:r>
          </w:p>
        </w:tc>
        <w:tc>
          <w:tcPr>
            <w:tcW w:type="dxa" w:w="1080"/>
          </w:tcPr>
          <w:p>
            <w:r>
              <w:rPr>
                <w:rFonts w:ascii="Calibri" w:hAnsi="Calibri"/>
                <w:sz w:val="22"/>
              </w:rPr>
              <w:t>$1,282M</w:t>
            </w:r>
          </w:p>
        </w:tc>
        <w:tc>
          <w:tcPr>
            <w:tcW w:type="dxa" w:w="1080"/>
          </w:tcPr>
          <w:p>
            <w:r>
              <w:rPr>
                <w:rFonts w:ascii="Calibri" w:hAnsi="Calibri"/>
                <w:sz w:val="22"/>
              </w:rPr>
              <w:t>$1,224M</w:t>
            </w:r>
          </w:p>
        </w:tc>
        <w:tc>
          <w:tcPr>
            <w:tcW w:type="dxa" w:w="1080"/>
          </w:tcPr>
          <w:p>
            <w:r>
              <w:rPr>
                <w:rFonts w:ascii="Calibri" w:hAnsi="Calibri"/>
                <w:b/>
                <w:color w:val="E5484D"/>
                <w:sz w:val="22"/>
              </w:rPr>
              <w:t>-4.5%</w:t>
            </w:r>
          </w:p>
        </w:tc>
        <w:tc>
          <w:tcPr>
            <w:tcW w:type="dxa" w:w="1080"/>
          </w:tcPr>
          <w:p>
            <w:r>
              <w:rPr>
                <w:rFonts w:ascii="Calibri" w:hAnsi="Calibri"/>
                <w:sz w:val="22"/>
              </w:rPr>
              <w:t>No guidance</w:t>
            </w:r>
          </w:p>
        </w:tc>
        <w:tc>
          <w:tcPr>
            <w:tcW w:type="dxa" w:w="1080"/>
          </w:tcPr>
          <w:p>
            <w:r>
              <w:rPr>
                <w:rFonts w:ascii="Calibri" w:hAnsi="Calibri"/>
                <w:sz w:val="22"/>
              </w:rPr>
              <w:t>No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Subscription &amp; Services Revenue (Q2 2026)</w:t>
            </w:r>
          </w:p>
        </w:tc>
        <w:tc>
          <w:tcPr>
            <w:tcW w:type="dxa" w:w="1080"/>
          </w:tcPr>
          <w:p>
            <w:r>
              <w:rPr>
                <w:rFonts w:ascii="Calibri" w:hAnsi="Calibri"/>
                <w:sz w:val="22"/>
              </w:rPr>
              <w:t>~$612M (implied)</w:t>
            </w:r>
          </w:p>
        </w:tc>
        <w:tc>
          <w:tcPr>
            <w:tcW w:type="dxa" w:w="1080"/>
          </w:tcPr>
          <w:p>
            <w:r>
              <w:rPr>
                <w:rFonts w:ascii="Calibri" w:hAnsi="Calibri"/>
                <w:sz w:val="22"/>
              </w:rPr>
              <w:t>$592M</w:t>
            </w:r>
          </w:p>
        </w:tc>
        <w:tc>
          <w:tcPr>
            <w:tcW w:type="dxa" w:w="1080"/>
          </w:tcPr>
          <w:p>
            <w:r>
              <w:rPr>
                <w:rFonts w:ascii="Calibri" w:hAnsi="Calibri"/>
                <w:b/>
                <w:color w:val="E5484D"/>
                <w:sz w:val="22"/>
              </w:rPr>
              <w:t>-3.3%</w:t>
            </w:r>
          </w:p>
        </w:tc>
        <w:tc>
          <w:tcPr>
            <w:tcW w:type="dxa" w:w="1080"/>
          </w:tcPr>
          <w:p>
            <w:r>
              <w:rPr>
                <w:rFonts w:ascii="Calibri" w:hAnsi="Calibri"/>
                <w:sz w:val="22"/>
              </w:rPr>
              <w:t>$565M – $645M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-2.1% below midpoint ($605M)</w:t>
            </w:r>
          </w:p>
        </w:tc>
      </w:tr>
      <w:tr>
        <w:tc>
          <w:tcPr>
            <w:tcW w:type="dxa" w:w="1080"/>
          </w:tcPr>
          <w:p>
            <w:r>
              <w:rPr>
                <w:rFonts w:ascii="Calibri" w:hAnsi="Calibri"/>
                <w:sz w:val="22"/>
              </w:rPr>
              <w:t>Operating EPS (Q2 2026)</w:t>
            </w:r>
          </w:p>
        </w:tc>
        <w:tc>
          <w:tcPr>
            <w:tcW w:type="dxa" w:w="1080"/>
          </w:tcPr>
          <w:p>
            <w:r>
              <w:rPr>
                <w:rFonts w:ascii="Calibri" w:hAnsi="Calibri"/>
                <w:sz w:val="22"/>
              </w:rPr>
              <w:t>$0.42</w:t>
            </w:r>
          </w:p>
        </w:tc>
        <w:tc>
          <w:tcPr>
            <w:tcW w:type="dxa" w:w="1080"/>
          </w:tcPr>
          <w:p>
            <w:r>
              <w:rPr>
                <w:rFonts w:ascii="Calibri" w:hAnsi="Calibri"/>
                <w:sz w:val="22"/>
              </w:rPr>
              <w:t>-$0.13</w:t>
            </w:r>
          </w:p>
        </w:tc>
        <w:tc>
          <w:tcPr>
            <w:tcW w:type="dxa" w:w="1080"/>
          </w:tcPr>
          <w:p>
            <w:r>
              <w:rPr>
                <w:rFonts w:ascii="Calibri" w:hAnsi="Calibri"/>
                <w:b/>
                <w:color w:val="E5484D"/>
                <w:sz w:val="22"/>
              </w:rPr>
              <w:t>-131%</w:t>
            </w:r>
          </w:p>
        </w:tc>
        <w:tc>
          <w:tcPr>
            <w:tcW w:type="dxa" w:w="1080"/>
          </w:tcPr>
          <w:p>
            <w:r>
              <w:rPr>
                <w:rFonts w:ascii="Calibri" w:hAnsi="Calibri"/>
                <w:sz w:val="22"/>
              </w:rPr>
              <w:t>No guidance</w:t>
            </w:r>
          </w:p>
        </w:tc>
        <w:tc>
          <w:tcPr>
            <w:tcW w:type="dxa" w:w="1080"/>
          </w:tcPr>
          <w:p>
            <w:r>
              <w:rPr>
                <w:rFonts w:ascii="Calibri" w:hAnsi="Calibri"/>
                <w:sz w:val="22"/>
              </w:rPr>
              <w:t>No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Net Revenue (FY 2026)</w:t>
            </w:r>
          </w:p>
        </w:tc>
        <w:tc>
          <w:tcPr>
            <w:tcW w:type="dxa" w:w="1080"/>
          </w:tcPr>
          <w:p>
            <w:r>
              <w:rPr>
                <w:rFonts w:ascii="Calibri" w:hAnsi="Calibri"/>
                <w:sz w:val="22"/>
              </w:rPr>
              <w:t>$5,734M</w:t>
            </w:r>
          </w:p>
        </w:tc>
        <w:tc>
          <w:tcPr>
            <w:tcW w:type="dxa" w:w="1080"/>
          </w:tcPr>
          <w:p>
            <w:r>
              <w:rPr>
                <w:rFonts w:ascii="Calibri" w:hAnsi="Calibri"/>
                <w:sz w:val="22"/>
              </w:rPr>
              <w:t>$5,516M</w:t>
            </w:r>
          </w:p>
        </w:tc>
        <w:tc>
          <w:tcPr>
            <w:tcW w:type="dxa" w:w="1080"/>
          </w:tcPr>
          <w:p>
            <w:r>
              <w:rPr>
                <w:rFonts w:ascii="Calibri" w:hAnsi="Calibri"/>
                <w:b/>
                <w:color w:val="E5484D"/>
                <w:sz w:val="22"/>
              </w:rPr>
              <w:t>-3.8%</w:t>
            </w:r>
          </w:p>
        </w:tc>
        <w:tc>
          <w:tcPr>
            <w:tcW w:type="dxa" w:w="1080"/>
          </w:tcPr>
          <w:p>
            <w:r>
              <w:rPr>
                <w:rFonts w:ascii="Calibri" w:hAnsi="Calibri"/>
                <w:sz w:val="22"/>
              </w:rPr>
              <w:t>No guidance</w:t>
            </w:r>
          </w:p>
        </w:tc>
        <w:tc>
          <w:tcPr>
            <w:tcW w:type="dxa" w:w="1080"/>
          </w:tcPr>
          <w:p>
            <w:r>
              <w:rPr>
                <w:rFonts w:ascii="Calibri" w:hAnsi="Calibri"/>
                <w:sz w:val="22"/>
              </w:rPr>
              <w:t>No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Operating EPS (FY 2026)</w:t>
            </w:r>
          </w:p>
        </w:tc>
        <w:tc>
          <w:tcPr>
            <w:tcW w:type="dxa" w:w="1080"/>
          </w:tcPr>
          <w:p>
            <w:r>
              <w:rPr>
                <w:rFonts w:ascii="Calibri" w:hAnsi="Calibri"/>
                <w:sz w:val="22"/>
              </w:rPr>
              <w:t>$1.64</w:t>
            </w:r>
          </w:p>
        </w:tc>
        <w:tc>
          <w:tcPr>
            <w:tcW w:type="dxa" w:w="1080"/>
          </w:tcPr>
          <w:p>
            <w:r>
              <w:rPr>
                <w:rFonts w:ascii="Calibri" w:hAnsi="Calibri"/>
                <w:sz w:val="22"/>
              </w:rPr>
              <w:t>$0.59</w:t>
            </w:r>
          </w:p>
        </w:tc>
        <w:tc>
          <w:tcPr>
            <w:tcW w:type="dxa" w:w="1080"/>
          </w:tcPr>
          <w:p>
            <w:r>
              <w:rPr>
                <w:rFonts w:ascii="Calibri" w:hAnsi="Calibri"/>
                <w:b/>
                <w:color w:val="E5484D"/>
                <w:sz w:val="22"/>
              </w:rPr>
              <w:t>-64.0%</w:t>
            </w:r>
          </w:p>
        </w:tc>
        <w:tc>
          <w:tcPr>
            <w:tcW w:type="dxa" w:w="1080"/>
          </w:tcPr>
          <w:p>
            <w:r>
              <w:rPr>
                <w:rFonts w:ascii="Calibri" w:hAnsi="Calibri"/>
                <w:sz w:val="22"/>
              </w:rPr>
              <w:t>No guidance</w:t>
            </w:r>
          </w:p>
        </w:tc>
        <w:tc>
          <w:tcPr>
            <w:tcW w:type="dxa" w:w="1080"/>
          </w:tcPr>
          <w:p>
            <w:r>
              <w:rPr>
                <w:rFonts w:ascii="Calibri" w:hAnsi="Calibri"/>
                <w:sz w:val="22"/>
              </w:rPr>
              <w:t>No guidance</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Source: Visible Alpha Consensus and Actuals Data. Post-Q1 baseline = May 8, 2026 (first trading day after Q1 earnings). The collapse in FY 2026 Operating EPS from $1.64 to $0.59 reflects both lower Q2 volume assumptions and the restructuring charge impact. The revision trajectory has been consistently negative with no stabilization, suggesting the street has not yet found a floor.</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COIN has underperformed both BITO (crypto proxy) and SPY since Q1 earnings, declining ~17% vs. BITO -21% and SPY flat — the stock's underperformance vs. SPY is driven by </w:t>
      </w:r>
      <w:r>
        <w:rPr>
          <w:rFonts w:ascii="Calibri" w:hAnsi="Calibri"/>
          <w:b/>
          <w:color w:val="525866"/>
          <w:sz w:val="22"/>
        </w:rPr>
        <w:t>multiple compression and estimate cuts</w:t>
      </w:r>
      <w:r>
        <w:rPr>
          <w:rFonts w:ascii="Calibri" w:hAnsi="Calibri"/>
          <w:color w:val="525866"/>
          <w:sz w:val="22"/>
        </w:rPr>
        <w:t>, while its relative outperformance vs. BITO reflects CLARITY Act optionality and the Everything Exchange narrative providing a partial offset to pure crypto beta.</w:t>
      </w:r>
    </w:p>
    <w:p>
      <w:r>
        <w:rPr>
          <w:rFonts w:ascii="Calibri" w:hAnsi="Calibri"/>
          <w:b/>
          <w:color w:val="525866"/>
          <w:sz w:val="22"/>
        </w:rPr>
        <w:t>Indexed Performance Since Q1 Earnings (May 7, 2026 = 100):</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COIN (Indexed)</w:t>
            </w:r>
          </w:p>
        </w:tc>
        <w:tc>
          <w:tcPr>
            <w:tcW w:type="dxa" w:w="2160"/>
            <w:shd w:val="clear" w:color="auto" w:fill="3B4259"/>
          </w:tcPr>
          <w:p>
            <w:r>
              <w:rPr>
                <w:rFonts w:ascii="Calibri" w:hAnsi="Calibri"/>
                <w:b/>
                <w:color w:val="FFFFFF"/>
                <w:sz w:val="22"/>
              </w:rPr>
              <w:t>BITO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May 7, 2026 (Q1 Earnings)</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14, 2026</w:t>
            </w:r>
          </w:p>
        </w:tc>
        <w:tc>
          <w:tcPr>
            <w:tcW w:type="dxa" w:w="2160"/>
          </w:tcPr>
          <w:p>
            <w:r>
              <w:rPr>
                <w:rFonts w:ascii="Calibri" w:hAnsi="Calibri"/>
                <w:sz w:val="22"/>
              </w:rPr>
              <w:t>109.9</w:t>
            </w:r>
          </w:p>
        </w:tc>
        <w:tc>
          <w:tcPr>
            <w:tcW w:type="dxa" w:w="2160"/>
          </w:tcPr>
          <w:p>
            <w:r>
              <w:rPr>
                <w:rFonts w:ascii="Calibri" w:hAnsi="Calibri"/>
                <w:sz w:val="22"/>
              </w:rPr>
              <w:t>101.5</w:t>
            </w:r>
          </w:p>
        </w:tc>
        <w:tc>
          <w:tcPr>
            <w:tcW w:type="dxa" w:w="2160"/>
          </w:tcPr>
          <w:p>
            <w:r>
              <w:rPr>
                <w:rFonts w:ascii="Calibri" w:hAnsi="Calibri"/>
                <w:sz w:val="22"/>
              </w:rPr>
              <w:t>102.3</w:t>
            </w:r>
          </w:p>
        </w:tc>
      </w:tr>
      <w:tr>
        <w:tc>
          <w:tcPr>
            <w:tcW w:type="dxa" w:w="2160"/>
          </w:tcPr>
          <w:p>
            <w:r>
              <w:rPr>
                <w:rFonts w:ascii="Calibri" w:hAnsi="Calibri"/>
                <w:sz w:val="22"/>
              </w:rPr>
              <w:t>May 29, 2026</w:t>
            </w:r>
          </w:p>
        </w:tc>
        <w:tc>
          <w:tcPr>
            <w:tcW w:type="dxa" w:w="2160"/>
          </w:tcPr>
          <w:p>
            <w:r>
              <w:rPr>
                <w:rFonts w:ascii="Calibri" w:hAnsi="Calibri"/>
                <w:sz w:val="22"/>
              </w:rPr>
              <w:t>98.0</w:t>
            </w:r>
          </w:p>
        </w:tc>
        <w:tc>
          <w:tcPr>
            <w:tcW w:type="dxa" w:w="2160"/>
          </w:tcPr>
          <w:p>
            <w:r>
              <w:rPr>
                <w:rFonts w:ascii="Calibri" w:hAnsi="Calibri"/>
                <w:sz w:val="22"/>
              </w:rPr>
              <w:t>91.4</w:t>
            </w:r>
          </w:p>
        </w:tc>
        <w:tc>
          <w:tcPr>
            <w:tcW w:type="dxa" w:w="2160"/>
          </w:tcPr>
          <w:p>
            <w:r>
              <w:rPr>
                <w:rFonts w:ascii="Calibri" w:hAnsi="Calibri"/>
                <w:sz w:val="22"/>
              </w:rPr>
              <w:t>103.4</w:t>
            </w:r>
          </w:p>
        </w:tc>
      </w:tr>
      <w:tr>
        <w:tc>
          <w:tcPr>
            <w:tcW w:type="dxa" w:w="2160"/>
          </w:tcPr>
          <w:p>
            <w:r>
              <w:rPr>
                <w:rFonts w:ascii="Calibri" w:hAnsi="Calibri"/>
                <w:sz w:val="22"/>
              </w:rPr>
              <w:t>Jun 5, 2026 (Piper Sandler Conference)</w:t>
            </w:r>
          </w:p>
        </w:tc>
        <w:tc>
          <w:tcPr>
            <w:tcW w:type="dxa" w:w="2160"/>
          </w:tcPr>
          <w:p>
            <w:r>
              <w:rPr>
                <w:rFonts w:ascii="Calibri" w:hAnsi="Calibri"/>
                <w:sz w:val="22"/>
              </w:rPr>
              <w:t>79.0</w:t>
            </w:r>
          </w:p>
        </w:tc>
        <w:tc>
          <w:tcPr>
            <w:tcW w:type="dxa" w:w="2160"/>
          </w:tcPr>
          <w:p>
            <w:r>
              <w:rPr>
                <w:rFonts w:ascii="Calibri" w:hAnsi="Calibri"/>
                <w:sz w:val="22"/>
              </w:rPr>
              <w:t>75.0</w:t>
            </w:r>
          </w:p>
        </w:tc>
        <w:tc>
          <w:tcPr>
            <w:tcW w:type="dxa" w:w="2160"/>
          </w:tcPr>
          <w:p>
            <w:r>
              <w:rPr>
                <w:rFonts w:ascii="Calibri" w:hAnsi="Calibri"/>
                <w:sz w:val="22"/>
              </w:rPr>
              <w:t>100.8</w:t>
            </w:r>
          </w:p>
        </w:tc>
      </w:tr>
      <w:tr>
        <w:tc>
          <w:tcPr>
            <w:tcW w:type="dxa" w:w="2160"/>
          </w:tcPr>
          <w:p>
            <w:r>
              <w:rPr>
                <w:rFonts w:ascii="Calibri" w:hAnsi="Calibri"/>
                <w:sz w:val="22"/>
              </w:rPr>
              <w:t>Jun 30, 2026 (Quarter End)</w:t>
            </w:r>
          </w:p>
        </w:tc>
        <w:tc>
          <w:tcPr>
            <w:tcW w:type="dxa" w:w="2160"/>
          </w:tcPr>
          <w:p>
            <w:r>
              <w:rPr>
                <w:rFonts w:ascii="Calibri" w:hAnsi="Calibri"/>
                <w:sz w:val="22"/>
              </w:rPr>
              <w:t>75.8</w:t>
            </w:r>
          </w:p>
        </w:tc>
        <w:tc>
          <w:tcPr>
            <w:tcW w:type="dxa" w:w="2160"/>
          </w:tcPr>
          <w:p>
            <w:r>
              <w:rPr>
                <w:rFonts w:ascii="Calibri" w:hAnsi="Calibri"/>
                <w:sz w:val="22"/>
              </w:rPr>
              <w:t>72.8</w:t>
            </w:r>
          </w:p>
        </w:tc>
        <w:tc>
          <w:tcPr>
            <w:tcW w:type="dxa" w:w="2160"/>
          </w:tcPr>
          <w:p>
            <w:r>
              <w:rPr>
                <w:rFonts w:ascii="Calibri" w:hAnsi="Calibri"/>
                <w:sz w:val="22"/>
              </w:rPr>
              <w:t>102.1</w:t>
            </w:r>
          </w:p>
        </w:tc>
      </w:tr>
      <w:tr>
        <w:tc>
          <w:tcPr>
            <w:tcW w:type="dxa" w:w="2160"/>
          </w:tcPr>
          <w:p>
            <w:r>
              <w:rPr>
                <w:rFonts w:ascii="Calibri" w:hAnsi="Calibri"/>
                <w:sz w:val="22"/>
              </w:rPr>
              <w:t>Jul 9, 2026 (CLO Departure 8-K)</w:t>
            </w:r>
          </w:p>
        </w:tc>
        <w:tc>
          <w:tcPr>
            <w:tcW w:type="dxa" w:w="2160"/>
          </w:tcPr>
          <w:p>
            <w:r>
              <w:rPr>
                <w:rFonts w:ascii="Calibri" w:hAnsi="Calibri"/>
                <w:sz w:val="22"/>
              </w:rPr>
              <w:t>82.1</w:t>
            </w:r>
          </w:p>
        </w:tc>
        <w:tc>
          <w:tcPr>
            <w:tcW w:type="dxa" w:w="2160"/>
          </w:tcPr>
          <w:p>
            <w:r>
              <w:rPr>
                <w:rFonts w:ascii="Calibri" w:hAnsi="Calibri"/>
                <w:sz w:val="22"/>
              </w:rPr>
              <w:t>78.2</w:t>
            </w:r>
          </w:p>
        </w:tc>
        <w:tc>
          <w:tcPr>
            <w:tcW w:type="dxa" w:w="2160"/>
          </w:tcPr>
          <w:p>
            <w:r>
              <w:rPr>
                <w:rFonts w:ascii="Calibri" w:hAnsi="Calibri"/>
                <w:sz w:val="22"/>
              </w:rPr>
              <w:t>102.8</w:t>
            </w:r>
          </w:p>
        </w:tc>
      </w:tr>
      <w:tr>
        <w:tc>
          <w:tcPr>
            <w:tcW w:type="dxa" w:w="2160"/>
          </w:tcPr>
          <w:p>
            <w:r>
              <w:rPr>
                <w:rFonts w:ascii="Calibri" w:hAnsi="Calibri"/>
                <w:sz w:val="22"/>
              </w:rPr>
              <w:t>Jul 21, 2026 (CLARITY Act Speculation)</w:t>
            </w:r>
          </w:p>
        </w:tc>
        <w:tc>
          <w:tcPr>
            <w:tcW w:type="dxa" w:w="2160"/>
          </w:tcPr>
          <w:p>
            <w:r>
              <w:rPr>
                <w:rFonts w:ascii="Calibri" w:hAnsi="Calibri"/>
                <w:sz w:val="22"/>
              </w:rPr>
              <w:t>91.1</w:t>
            </w:r>
          </w:p>
        </w:tc>
        <w:tc>
          <w:tcPr>
            <w:tcW w:type="dxa" w:w="2160"/>
          </w:tcPr>
          <w:p>
            <w:r>
              <w:rPr>
                <w:rFonts w:ascii="Calibri" w:hAnsi="Calibri"/>
                <w:sz w:val="22"/>
              </w:rPr>
              <w:t>82.2</w:t>
            </w:r>
          </w:p>
        </w:tc>
        <w:tc>
          <w:tcPr>
            <w:tcW w:type="dxa" w:w="2160"/>
          </w:tcPr>
          <w:p>
            <w:r>
              <w:rPr>
                <w:rFonts w:ascii="Calibri" w:hAnsi="Calibri"/>
                <w:sz w:val="22"/>
              </w:rPr>
              <w:t>102.3</w:t>
            </w:r>
          </w:p>
        </w:tc>
      </w:tr>
      <w:tr>
        <w:tc>
          <w:tcPr>
            <w:tcW w:type="dxa" w:w="2160"/>
          </w:tcPr>
          <w:p>
            <w:r>
              <w:rPr>
                <w:rFonts w:ascii="Calibri" w:hAnsi="Calibri"/>
                <w:sz w:val="22"/>
              </w:rPr>
              <w:t>Jul 28, 2026 (Day Before Earnings)</w:t>
            </w:r>
          </w:p>
        </w:tc>
        <w:tc>
          <w:tcPr>
            <w:tcW w:type="dxa" w:w="2160"/>
          </w:tcPr>
          <w:p>
            <w:r>
              <w:rPr>
                <w:rFonts w:ascii="Calibri" w:hAnsi="Calibri"/>
                <w:sz w:val="22"/>
              </w:rPr>
              <w:t>87.0</w:t>
            </w:r>
          </w:p>
        </w:tc>
        <w:tc>
          <w:tcPr>
            <w:tcW w:type="dxa" w:w="2160"/>
          </w:tcPr>
          <w:p>
            <w:r>
              <w:rPr>
                <w:rFonts w:ascii="Calibri" w:hAnsi="Calibri"/>
                <w:sz w:val="22"/>
              </w:rPr>
              <w:t>78.8</w:t>
            </w:r>
          </w:p>
        </w:tc>
        <w:tc>
          <w:tcPr>
            <w:tcW w:type="dxa" w:w="2160"/>
          </w:tcPr>
          <w:p>
            <w:r>
              <w:rPr>
                <w:rFonts w:ascii="Calibri" w:hAnsi="Calibri"/>
                <w:sz w:val="22"/>
              </w:rPr>
              <w:t>101.3</w:t>
            </w:r>
          </w:p>
        </w:tc>
      </w:tr>
    </w:tbl>
    <w:p>
      <w:r>
        <w:rPr>
          <w:rFonts w:ascii="Calibri" w:hAnsi="Calibri"/>
          <w:i/>
          <w:color w:val="525866"/>
          <w:sz w:val="22"/>
        </w:rPr>
        <w:t>Source: Stock Price Data (Yahoo Finance). Base = May 7, 2026 closing prices: COIN $192.96, BITO $10.96, SPY $731.58. Sector ETF: BITO (ProShares Bitcoin Strategy ETF) used as the crypto sub-sector proxy given COIN's primary revenue exposure to crypto trading volumes. Key events marked: (1) Piper Sandler Conference June 4 — peers flagged challenging crypto asset environment; (2) CLO Paul Grewal departure 8-K filed July 9; (3) CLARITY Act speculation drove COIN +9.7% on July 21–24.</w:t>
      </w:r>
    </w:p>
    <w:p>
      <w:r>
        <w:rPr>
          <w:rFonts w:ascii="Calibri" w:hAnsi="Calibri"/>
          <w:b/>
          <w:color w:val="525866"/>
          <w:sz w:val="22"/>
        </w:rPr>
        <w:t>Performance Decomposition (NTM EV/EBITDA):</w:t>
      </w:r>
      <w:r>
        <w:rPr>
          <w:rFonts w:ascii="Calibri" w:hAnsi="Calibri"/>
          <w:color w:val="525866"/>
          <w:sz w:val="22"/>
        </w:rPr>
        <w:t xml:space="preserve"> Over the 3-month window, COIN's stock declined -17.5% while NTM EV/EBITDA contracted only modestly (-3.1%, from 17.7x to 17.1x), implying the majority of the price decline was driven by estimate cuts rather than multiple compression. Over 12 months, the stock is down -57.8% with EV/EBITDA compressing -40.2% (from 28.6x to 17.1x) — a combination of both multiple de-rating and earnings deterioration. The 1-month recovery (+5.6%) has been almost entirely multiple expansion (+19.5%), suggesting the recent bounce is sentiment/CLARITY Act driven rather than fundamental.</w:t>
      </w:r>
    </w:p>
    <w:p>
      <w:r>
        <w:br w:type="page"/>
      </w:r>
    </w:p>
    <w:p>
      <w:pPr>
        <w:pStyle w:val="Heading2"/>
      </w:pPr>
      <w:r>
        <w:rPr>
          <w:rFonts w:ascii="Calibri" w:hAnsi="Calibri"/>
          <w:b/>
          <w:color w:val="3B4259"/>
          <w:sz w:val="28"/>
        </w:rPr>
        <w:t>6. Material News &amp; Developments (Since May 7, 2026 Q1 Earnings)</w:t>
      </w:r>
    </w:p>
    <w:p>
      <w:r>
        <w:rPr>
          <w:rFonts w:ascii="Calibri" w:hAnsi="Calibri"/>
          <w:b/>
          <w:color w:val="525866"/>
          <w:sz w:val="22"/>
        </w:rPr>
        <w:t xml:space="preserve">Key Takeaway: </w:t>
      </w:r>
      <w:r>
        <w:rPr>
          <w:rFonts w:ascii="Calibri" w:hAnsi="Calibri"/>
          <w:color w:val="525866"/>
          <w:sz w:val="22"/>
        </w:rPr>
        <w:t xml:space="preserve">The most important development is the </w:t>
      </w:r>
      <w:r>
        <w:rPr>
          <w:rFonts w:ascii="Calibri" w:hAnsi="Calibri"/>
          <w:b/>
          <w:color w:val="525866"/>
          <w:sz w:val="22"/>
        </w:rPr>
        <w:t>CLARITY Act's Senate Banking Committee passage on May 14, 2026</w:t>
      </w:r>
      <w:r>
        <w:rPr>
          <w:rFonts w:ascii="Calibri" w:hAnsi="Calibri"/>
          <w:color w:val="525866"/>
          <w:sz w:val="22"/>
        </w:rPr>
        <w:t xml:space="preserve"> and the subsequent race to a floor vote before the August 7 recess — this is the single biggest binary catalyst for COIN and could move the stock more than the Q2 print itself.</w:t>
      </w:r>
    </w:p>
    <w:p>
      <w:pPr>
        <w:pStyle w:val="ListBullet"/>
        <w:ind w:left="360" w:hanging="360"/>
      </w:pPr>
      <w:r>
        <w:rPr>
          <w:rFonts w:ascii="Calibri" w:hAnsi="Calibri"/>
          <w:b/>
          <w:color w:val="525866"/>
          <w:sz w:val="22"/>
        </w:rPr>
        <w:t>May 5, 2026 — Coinbase announces ~700-person headcount reduction (8-K filed).</w:t>
      </w:r>
      <w:r>
        <w:rPr>
          <w:rFonts w:ascii="Calibri" w:hAnsi="Calibri"/>
          <w:color w:val="525866"/>
          <w:sz w:val="22"/>
        </w:rPr>
        <w:t xml:space="preserve"> Effective date: May 5, 2026; disclosed May 5, 2026. Restructuring charges of $50–60M expected in Q2 as a standalone line item. Management framed as AI-native transformation (pull requests per engineer +80% YoY). Implication: Removes ~$500M of annualized costs vs. Q4 2025 run rate; positive for long-term margins but creates near-term GAAP noise.</w:t>
      </w:r>
    </w:p>
    <w:p>
      <w:pPr>
        <w:pStyle w:val="ListBullet"/>
        <w:ind w:left="360" w:hanging="360"/>
      </w:pPr>
      <w:r>
        <w:rPr>
          <w:rFonts w:ascii="Calibri" w:hAnsi="Calibri"/>
          <w:b/>
          <w:color w:val="525866"/>
          <w:sz w:val="22"/>
        </w:rPr>
        <w:t>May 14, 2026 — CLARITY Act passes Senate Banking Committee 15-9 (bipartisan).</w:t>
      </w:r>
      <w:r>
        <w:rPr>
          <w:rFonts w:ascii="Calibri" w:hAnsi="Calibri"/>
          <w:color w:val="525866"/>
          <w:sz w:val="22"/>
        </w:rPr>
        <w:t xml:space="preserve"> Two Democrats joined all Republicans. Next step: Senate floor vote requiring 60 votes. Stablecoin rewards compromise preserved activity-based rewards while prohibiting passive bank-deposit-style yield. Implication: Coinbase's USDC revenue share contracts are "unaffected by any rewards language" per CLO Grewal on Q1 call; passage would unlock tokenized equities, derivatives, and broader institutional adoption.</w:t>
      </w:r>
    </w:p>
    <w:p>
      <w:pPr>
        <w:pStyle w:val="ListBullet"/>
        <w:ind w:left="360" w:hanging="360"/>
      </w:pPr>
      <w:r>
        <w:rPr>
          <w:rFonts w:ascii="Calibri" w:hAnsi="Calibri"/>
          <w:b/>
          <w:color w:val="525866"/>
          <w:sz w:val="22"/>
        </w:rPr>
        <w:t>May 18, 2026 — Coinbase participates in J.P. Morgan Global Technology, Media and Communications Conference.</w:t>
      </w:r>
      <w:r>
        <w:rPr>
          <w:rFonts w:ascii="Calibri" w:hAnsi="Calibri"/>
          <w:color w:val="525866"/>
          <w:sz w:val="22"/>
        </w:rPr>
        <w:t xml:space="preserve"> No material guidance updates disclosed.</w:t>
      </w:r>
    </w:p>
    <w:p>
      <w:pPr>
        <w:pStyle w:val="ListBullet"/>
        <w:ind w:left="360" w:hanging="360"/>
      </w:pPr>
      <w:r>
        <w:rPr>
          <w:rFonts w:ascii="Calibri" w:hAnsi="Calibri"/>
          <w:b/>
          <w:color w:val="525866"/>
          <w:sz w:val="22"/>
        </w:rPr>
        <w:t>June 4, 2026 — Piper Sandler Global Exchange &amp; Fintech Conference.</w:t>
      </w:r>
      <w:r>
        <w:rPr>
          <w:rFonts w:ascii="Calibri" w:hAnsi="Calibri"/>
          <w:color w:val="525866"/>
          <w:sz w:val="22"/>
        </w:rPr>
        <w:t xml:space="preserve"> Galaxy Digital CEO characterized crypto assets as "challenged" with capital flows shifting to AI. Robinhood CBO noted April was its second-highest month in equity trading and May was "very strong," but crypto-specific commentary was mixed. CFTC approved Kalshi's Bitcoin perpetual futures contract, introducing new competition in crypto derivatives. Implication: Validates challenging Q2 crypto trading environment for COIN.</w:t>
      </w:r>
    </w:p>
    <w:p>
      <w:pPr>
        <w:pStyle w:val="ListBullet"/>
        <w:ind w:left="360" w:hanging="360"/>
      </w:pPr>
      <w:r>
        <w:rPr>
          <w:rFonts w:ascii="Calibri" w:hAnsi="Calibri"/>
          <w:b/>
          <w:color w:val="525866"/>
          <w:sz w:val="22"/>
        </w:rPr>
        <w:t>June 18, 2026 — Coinbase shareholders approve all director nominees and ratify auditor (8-K).</w:t>
      </w:r>
      <w:r>
        <w:rPr>
          <w:rFonts w:ascii="Calibri" w:hAnsi="Calibri"/>
          <w:color w:val="525866"/>
          <w:sz w:val="22"/>
        </w:rPr>
        <w:t xml:space="preserve"> Routine governance event; no material impact.</w:t>
      </w:r>
    </w:p>
    <w:p>
      <w:pPr>
        <w:pStyle w:val="ListBullet"/>
        <w:ind w:left="360" w:hanging="360"/>
      </w:pPr>
      <w:r>
        <w:rPr>
          <w:rFonts w:ascii="Calibri" w:hAnsi="Calibri"/>
          <w:b/>
          <w:color w:val="525866"/>
          <w:sz w:val="22"/>
        </w:rPr>
        <w:t>July 9, 2026 — Chief Legal Officer Paul Grewal announces departure, effective July 31, 2026 (8-K filed July 9).</w:t>
      </w:r>
      <w:r>
        <w:rPr>
          <w:rFonts w:ascii="Calibri" w:hAnsi="Calibri"/>
          <w:color w:val="525866"/>
          <w:sz w:val="22"/>
        </w:rPr>
        <w:t xml:space="preserve"> Notification date: July 8, 2026. Successor: Molly Abraham (VP, Legal) expected to be appointed General Counsel and Secretary. Grewal enters advisor agreement August 1 – October 31, 2026 (3-month base salary + RSU vesting). Implication: Grewal was the public face of Coinbase's regulatory strategy; departure ahead of CLARITY Act vote is notable timing, though advisor agreement suggests continuity.</w:t>
      </w:r>
    </w:p>
    <w:p>
      <w:pPr>
        <w:pStyle w:val="ListBullet"/>
        <w:ind w:left="360" w:hanging="360"/>
      </w:pPr>
      <w:r>
        <w:rPr>
          <w:rFonts w:ascii="Calibri" w:hAnsi="Calibri"/>
          <w:b/>
          <w:color w:val="525866"/>
          <w:sz w:val="22"/>
        </w:rPr>
        <w:t>July 15, 2026 — Coinbase announces Q2 2026 earnings date (July 30, 2026, 5:00 PM ET).</w:t>
      </w:r>
      <w:r>
        <w:rPr>
          <w:rFonts w:ascii="Calibri" w:hAnsi="Calibri"/>
          <w:color w:val="525866"/>
          <w:sz w:val="22"/>
        </w:rPr>
        <w:t xml:space="preserve"> Press release.</w:t>
      </w:r>
    </w:p>
    <w:p>
      <w:pPr>
        <w:pStyle w:val="ListBullet"/>
        <w:ind w:left="360" w:hanging="360"/>
      </w:pPr>
      <w:r>
        <w:rPr>
          <w:rFonts w:ascii="Calibri" w:hAnsi="Calibri"/>
          <w:b/>
          <w:color w:val="525866"/>
          <w:sz w:val="22"/>
        </w:rPr>
        <w:t>July 20, 2026 — Kalshi prediction market data suggests traders betting on third consecutive trading volume decline for COIN Q2.</w:t>
      </w:r>
      <w:r>
        <w:rPr>
          <w:rFonts w:ascii="Calibri" w:hAnsi="Calibri"/>
          <w:color w:val="525866"/>
          <w:sz w:val="22"/>
        </w:rPr>
        <w:t xml:space="preserve"> (CNBC report.) Implication: Real-money prediction market signal aligning with consensus estimate cuts; adds conviction to the low-volume narrative.</w:t>
      </w:r>
    </w:p>
    <w:p>
      <w:pPr>
        <w:pStyle w:val="ListBullet"/>
        <w:ind w:left="360" w:hanging="360"/>
      </w:pPr>
      <w:r>
        <w:rPr>
          <w:rFonts w:ascii="Calibri" w:hAnsi="Calibri"/>
          <w:b/>
          <w:color w:val="525866"/>
          <w:sz w:val="22"/>
        </w:rPr>
        <w:t>July 22–24, 2026 — COIN shares spike +9.7% on CLARITY Act advancement speculation.</w:t>
      </w:r>
      <w:r>
        <w:rPr>
          <w:rFonts w:ascii="Calibri" w:hAnsi="Calibri"/>
          <w:color w:val="525866"/>
          <w:sz w:val="22"/>
        </w:rPr>
        <w:t xml:space="preserve"> Barron's cautioned against overexcitement citing unresolved ethics-related matters. Vice Chair publicly advocated for the bill on Bloomberg Television July 29, citing support from Goldman Sachs, Schwab, BlackRock, and the Fraternal Order of Police. Implication: CLARITY Act is the dominant near-term catalyst; Senate recess begins August 7, creating a hard deadline.</w:t>
      </w:r>
    </w:p>
    <w:p>
      <w:pPr>
        <w:pStyle w:val="ListBullet"/>
        <w:ind w:left="360" w:hanging="360"/>
      </w:pPr>
      <w:r>
        <w:rPr>
          <w:rFonts w:ascii="Calibri" w:hAnsi="Calibri"/>
          <w:b/>
          <w:color w:val="525866"/>
          <w:sz w:val="22"/>
        </w:rPr>
        <w:t>July 22, 2026 — Lawrence Brock (Chief People Officer) announces departure, effective August 17, 2026 (8-K filed July 23).</w:t>
      </w:r>
      <w:r>
        <w:rPr>
          <w:rFonts w:ascii="Calibri" w:hAnsi="Calibri"/>
          <w:color w:val="525866"/>
          <w:sz w:val="22"/>
        </w:rPr>
        <w:t xml:space="preserve"> Notification date: July 22, 2026. Successor: Dominique Baillet expected as CPO. Advisor agreement September 2 – November 30, 2026. Second C-suite departure in two weeks alongside CLO Grewal. Implication: Elevated leadership turnover heading into earnings; management will likely be asked about organizational stability on the Q2 call.</w:t>
      </w:r>
    </w:p>
    <w:p>
      <w:pPr>
        <w:pStyle w:val="ListBullet"/>
        <w:ind w:left="360" w:hanging="360"/>
      </w:pPr>
      <w:r>
        <w:rPr>
          <w:rFonts w:ascii="Calibri" w:hAnsi="Calibri"/>
          <w:b/>
          <w:color w:val="525866"/>
          <w:sz w:val="22"/>
        </w:rPr>
        <w:t>July 29, 2026 — Robinhood reports Q2 2026 earnings (HOOD).</w:t>
      </w:r>
      <w:r>
        <w:rPr>
          <w:rFonts w:ascii="Calibri" w:hAnsi="Calibri"/>
          <w:color w:val="525866"/>
          <w:sz w:val="22"/>
        </w:rPr>
        <w:t xml:space="preserve"> Record revenues of $1.3B (+32% YoY), EPS of $0.62 vs. $0.44 consensus. Transaction-based revenue of $776M beat $741M estimate. However, management noted crypto volumes in July are "a little bit slower than what we saw in Q2" — a direct negative read-through for COIN Q3 outlook. Implication: Strong Q2 retail trading environment broadly, but crypto-specific softness in July is a headwind for COIN's Q3 setup.</w:t>
      </w:r>
    </w:p>
    <w:p>
      <w:r>
        <w:br w:type="page"/>
      </w:r>
    </w:p>
    <w:p>
      <w:pPr>
        <w:pStyle w:val="Heading2"/>
      </w:pPr>
      <w:r>
        <w:rPr>
          <w:rFonts w:ascii="Calibri" w:hAnsi="Calibri"/>
          <w:b/>
          <w:color w:val="3B4259"/>
          <w:sz w:val="28"/>
        </w:rPr>
        <w:t>7. Peer Commentaries / Read-Throughs (Last 60 Days, Q2 2026 Period Only)</w:t>
      </w:r>
    </w:p>
    <w:p>
      <w:r>
        <w:rPr>
          <w:rFonts w:ascii="Calibri" w:hAnsi="Calibri"/>
          <w:b/>
          <w:color w:val="525866"/>
          <w:sz w:val="22"/>
        </w:rPr>
        <w:t xml:space="preserve">Key Takeaway: </w:t>
      </w:r>
      <w:r>
        <w:rPr>
          <w:rFonts w:ascii="Calibri" w:hAnsi="Calibri"/>
          <w:color w:val="525866"/>
          <w:sz w:val="22"/>
        </w:rPr>
        <w:t xml:space="preserve">Peer commentary paints a </w:t>
      </w:r>
      <w:r>
        <w:rPr>
          <w:rFonts w:ascii="Calibri" w:hAnsi="Calibri"/>
          <w:b/>
          <w:color w:val="525866"/>
          <w:sz w:val="22"/>
        </w:rPr>
        <w:t>bifurcated picture</w:t>
      </w:r>
      <w:r>
        <w:rPr>
          <w:rFonts w:ascii="Calibri" w:hAnsi="Calibri"/>
          <w:color w:val="525866"/>
          <w:sz w:val="22"/>
        </w:rPr>
        <w:t xml:space="preserve">: broad retail trading engagement was strong in Q2 (Robinhood, Schwab, Nasdaq all flagged record or near-record volumes), but </w:t>
      </w:r>
      <w:r>
        <w:rPr>
          <w:rFonts w:ascii="Calibri" w:hAnsi="Calibri"/>
          <w:b/>
          <w:color w:val="525866"/>
          <w:sz w:val="22"/>
        </w:rPr>
        <w:t>crypto-specific activity was challenged</w:t>
      </w:r>
      <w:r>
        <w:rPr>
          <w:rFonts w:ascii="Calibri" w:hAnsi="Calibri"/>
          <w:color w:val="525866"/>
          <w:sz w:val="22"/>
        </w:rPr>
        <w:t xml:space="preserve"> (Galaxy Digital explicitly called crypto assets "challenged" with capital flows shifting to AI), and the derivatives regulatory landscape is increasingly contested (CME vs. CFTC on perpetuals). The most actionable read-through is Robinhood's July commentary flagging softer crypto volumes — a direct Q3 warning for COIN.</w:t>
      </w:r>
    </w:p>
    <w:p>
      <w:r>
        <w:rPr>
          <w:rFonts w:ascii="Calibri" w:hAnsi="Calibri"/>
          <w:i/>
          <w:color w:val="525866"/>
          <w:sz w:val="22"/>
        </w:rPr>
        <w:t>Note: Only commentary pertaining to the Q2 2026 reporting period (April–June 2026) or post-Q2 forward outlook is included below. Retrospective commentary about prior quarters has been excluded.</w:t>
      </w:r>
    </w:p>
    <w:p>
      <w:pPr>
        <w:pStyle w:val="Heading3"/>
      </w:pPr>
      <w:r>
        <w:rPr>
          <w:rFonts w:ascii="Calibri" w:hAnsi="Calibri"/>
          <w:b/>
          <w:color w:val="3B4259"/>
          <w:sz w:val="24"/>
        </w:rPr>
        <w:t>Robinhood (HOOD) — Q2 2026 Earnings Call (July 29, 2026) &amp; Piper Sandler Conference (June 4, 2026)</w:t>
      </w:r>
    </w:p>
    <w:p>
      <w:pPr>
        <w:pStyle w:val="ListBullet"/>
        <w:ind w:left="360" w:hanging="360"/>
      </w:pPr>
      <w:r>
        <w:rPr>
          <w:rFonts w:ascii="Calibri" w:hAnsi="Calibri"/>
          <w:b/>
          <w:color w:val="525866"/>
          <w:sz w:val="22"/>
        </w:rPr>
        <w:t xml:space="preserve">Q2 Retail Trading Volumes (Positive Read-Through): </w:t>
      </w:r>
      <w:r>
        <w:rPr>
          <w:rFonts w:ascii="Calibri" w:hAnsi="Calibri"/>
          <w:color w:val="525866"/>
          <w:sz w:val="22"/>
        </w:rPr>
        <w:t>Robinhood reported record Q2 revenues of $1.3B (+32% YoY) with transaction-based revenue of $776M beating estimates. April was Robinhood's "second highest month in equity trading, option trading, highest month in futures and in prediction markets." May was "very strong." June 1 was Robinhood's "biggest day ever in equity trading." This broad retail engagement is a positive read-through for COIN's retail transaction revenue, though crypto-specific volumes were not separately broken out as a beat.</w:t>
      </w:r>
    </w:p>
    <w:p>
      <w:pPr>
        <w:pStyle w:val="ListBullet"/>
        <w:ind w:left="360" w:hanging="360"/>
      </w:pPr>
      <w:r>
        <w:rPr>
          <w:rFonts w:ascii="Calibri" w:hAnsi="Calibri"/>
          <w:b/>
          <w:color w:val="525866"/>
          <w:sz w:val="22"/>
        </w:rPr>
        <w:t xml:space="preserve">Pattern Day Trading Rule Removal (Positive Read-Through): </w:t>
      </w:r>
      <w:r>
        <w:rPr>
          <w:rFonts w:ascii="Calibri" w:hAnsi="Calibri"/>
          <w:color w:val="525866"/>
          <w:sz w:val="22"/>
        </w:rPr>
        <w:t>The SEC removed the Pattern Day Trading rule on June 4, 2026, providing a "nice tailwind in June" per Robinhood management. This regulatory change removes a barrier for frequent retail trading and could have incrementally benefited COIN's retail crypto trading volumes in June, though the effect is likely modest given crypto is not subject to PDT rules directly.</w:t>
      </w:r>
    </w:p>
    <w:p>
      <w:pPr>
        <w:pStyle w:val="ListBullet"/>
        <w:ind w:left="360" w:hanging="360"/>
      </w:pPr>
      <w:r>
        <w:rPr>
          <w:rFonts w:ascii="Calibri" w:hAnsi="Calibri"/>
          <w:b/>
          <w:color w:val="525866"/>
          <w:sz w:val="22"/>
        </w:rPr>
        <w:t xml:space="preserve">Crypto Volumes in July (Negative Q3 Read-Through): </w:t>
      </w:r>
      <w:r>
        <w:rPr>
          <w:rFonts w:ascii="Calibri" w:hAnsi="Calibri"/>
          <w:color w:val="525866"/>
          <w:sz w:val="22"/>
        </w:rPr>
        <w:t>Robinhood management explicitly stated on the July 29 Q2 earnings call that "in terms of crypto, it's probably a little bit slower than what we saw in Q2." This is a direct negative read-through for COIN's Q3 2026 transaction revenue and suggests the already-weak Q2 crypto environment has not improved into Q3.</w:t>
      </w:r>
    </w:p>
    <w:p>
      <w:pPr>
        <w:pStyle w:val="ListBullet"/>
        <w:ind w:left="360" w:hanging="360"/>
      </w:pPr>
      <w:r>
        <w:rPr>
          <w:rFonts w:ascii="Calibri" w:hAnsi="Calibri"/>
          <w:b/>
          <w:color w:val="525866"/>
          <w:sz w:val="22"/>
        </w:rPr>
        <w:t xml:space="preserve">Robinhood Chain &amp; Stablecoin Competition (Competitive Alert): </w:t>
      </w:r>
      <w:r>
        <w:rPr>
          <w:rFonts w:ascii="Calibri" w:hAnsi="Calibri"/>
          <w:color w:val="525866"/>
          <w:sz w:val="22"/>
        </w:rPr>
        <w:t>Robinhood launched Robinhood Chain ("first chain purpose built for real world assets") with over $12B in DEX volume post-launch, becoming one of the largest chains by transaction volume. Robinhood Earn (stablecoin lending at 7% APY) attracted $200M+ in deposits within weeks. This is a direct competitive threat to Coinbase's Base chain and USDC ecosystem, though COIN's infrastructure advantage (x402, AWS Bedrock integration) remains significant.</w:t>
      </w:r>
    </w:p>
    <w:p>
      <w:pPr>
        <w:pStyle w:val="ListBullet"/>
        <w:ind w:left="360" w:hanging="360"/>
      </w:pPr>
      <w:r>
        <w:rPr>
          <w:rFonts w:ascii="Calibri" w:hAnsi="Calibri"/>
          <w:b/>
          <w:color w:val="525866"/>
          <w:sz w:val="22"/>
        </w:rPr>
        <w:t xml:space="preserve">Perpetual Futures Appetite (Positive Derivatives Read-Through): </w:t>
      </w:r>
      <w:r>
        <w:rPr>
          <w:rFonts w:ascii="Calibri" w:hAnsi="Calibri"/>
          <w:color w:val="525866"/>
          <w:sz w:val="22"/>
        </w:rPr>
        <w:t>Robinhood noted "there's a lot of interest in perps" and is in "constructive" conversations with the CFTC about US perpetual futures. This validates the market opportunity Coinbase is pursuing through its International Exchange and Deribit integration.</w:t>
      </w:r>
    </w:p>
    <w:p>
      <w:pPr>
        <w:pStyle w:val="ListBullet"/>
        <w:ind w:left="360" w:hanging="360"/>
      </w:pPr>
      <w:r>
        <w:rPr>
          <w:rFonts w:ascii="Calibri" w:hAnsi="Calibri"/>
          <w:b/>
          <w:color w:val="525866"/>
          <w:sz w:val="22"/>
        </w:rPr>
        <w:t xml:space="preserve">CLARITY Act Importance (Regulatory Alignment): </w:t>
      </w:r>
      <w:r>
        <w:rPr>
          <w:rFonts w:ascii="Calibri" w:hAnsi="Calibri"/>
          <w:color w:val="525866"/>
          <w:sz w:val="22"/>
        </w:rPr>
        <w:t>Robinhood called the CLARITY Act "very, very important" for the industry, stating "regulatory stability is necessary" for growth. Aligns with Coinbase's public advocacy.</w:t>
      </w:r>
    </w:p>
    <w:p>
      <w:pPr>
        <w:pStyle w:val="Heading3"/>
      </w:pPr>
      <w:r>
        <w:rPr>
          <w:rFonts w:ascii="Calibri" w:hAnsi="Calibri"/>
          <w:b/>
          <w:color w:val="3B4259"/>
          <w:sz w:val="24"/>
        </w:rPr>
        <w:t>CME Group (CME) — Q2 2026 Earnings Call (July 22, 2026) &amp; Piper Sandler Conference (June 4, 2026)</w:t>
      </w:r>
    </w:p>
    <w:p>
      <w:pPr>
        <w:pStyle w:val="ListBullet"/>
        <w:ind w:left="360" w:hanging="360"/>
      </w:pPr>
      <w:r>
        <w:rPr>
          <w:rFonts w:ascii="Calibri" w:hAnsi="Calibri"/>
          <w:b/>
          <w:color w:val="525866"/>
          <w:sz w:val="22"/>
        </w:rPr>
        <w:t xml:space="preserve">Crypto Futures Volume Growth (Positive Derivatives Read-Through): </w:t>
      </w:r>
      <w:r>
        <w:rPr>
          <w:rFonts w:ascii="Calibri" w:hAnsi="Calibri"/>
          <w:color w:val="525866"/>
          <w:sz w:val="22"/>
        </w:rPr>
        <w:t>CME's suite of crypto products grew 32% vs. Q2 2025, and crypto futures and options were up 44% for H1 2026 vs. H1 2025, and up 76% in June vs. June 2025. CME is doing "$4.5–$6.5B per day of trading in our cryptocurrency complex." This validates strong institutional demand for regulated crypto derivatives — a market Coinbase is targeting through Deribit and its International Exchange.</w:t>
      </w:r>
    </w:p>
    <w:p>
      <w:pPr>
        <w:pStyle w:val="ListBullet"/>
        <w:ind w:left="360" w:hanging="360"/>
      </w:pPr>
      <w:r>
        <w:rPr>
          <w:rFonts w:ascii="Calibri" w:hAnsi="Calibri"/>
          <w:b/>
          <w:color w:val="525866"/>
          <w:sz w:val="22"/>
        </w:rPr>
        <w:t xml:space="preserve">24/7 Crypto Futures Launch (Competitive Dynamics): </w:t>
      </w:r>
      <w:r>
        <w:rPr>
          <w:rFonts w:ascii="Calibri" w:hAnsi="Calibri"/>
          <w:color w:val="525866"/>
          <w:sz w:val="22"/>
        </w:rPr>
        <w:t>CME successfully introduced 24/7 trading of crypto futures in Q2, with over $1.5B traded over the first eight weekends with "significant participation of retail." This increases competition for COIN in the crypto derivatives space but also validates the always-on market concept central to crypto.</w:t>
      </w:r>
    </w:p>
    <w:p>
      <w:pPr>
        <w:pStyle w:val="ListBullet"/>
        <w:ind w:left="360" w:hanging="360"/>
      </w:pPr>
      <w:r>
        <w:rPr>
          <w:rFonts w:ascii="Calibri" w:hAnsi="Calibri"/>
          <w:b/>
          <w:color w:val="525866"/>
          <w:sz w:val="22"/>
        </w:rPr>
        <w:t xml:space="preserve">Perpetuals Are Swaps, Not Futures (Regulatory Risk for COIN): </w:t>
      </w:r>
      <w:r>
        <w:rPr>
          <w:rFonts w:ascii="Calibri" w:hAnsi="Calibri"/>
          <w:color w:val="525866"/>
          <w:sz w:val="22"/>
        </w:rPr>
        <w:t>CME CEO Terry Duffy argued forcefully that perpetual futures "are swaps, not futures" under Dodd-Frank, and that CME's litigation will demonstrate this. If regulators adopt this view, perpetuals could face stricter margining requirements (5-day swap margining vs. daily futures margining), which could impact Coinbase's perpetual offerings on its International Exchange. Duffy also warned of "systemic risk" from equity perpetuals, suggesting regulatory scrutiny of the product class is intensifying.</w:t>
      </w:r>
    </w:p>
    <w:p>
      <w:pPr>
        <w:pStyle w:val="ListBullet"/>
        <w:ind w:left="360" w:hanging="360"/>
      </w:pPr>
      <w:r>
        <w:rPr>
          <w:rFonts w:ascii="Calibri" w:hAnsi="Calibri"/>
          <w:b/>
          <w:color w:val="525866"/>
          <w:sz w:val="22"/>
        </w:rPr>
        <w:t xml:space="preserve">Institutional Demand for Regulated Products (Positive for COIN's Institutional Business): </w:t>
      </w:r>
      <w:r>
        <w:rPr>
          <w:rFonts w:ascii="Calibri" w:hAnsi="Calibri"/>
          <w:color w:val="525866"/>
          <w:sz w:val="22"/>
        </w:rPr>
        <w:t>CME noted 94% of its volume is institutional and that perpetuals "do nothing" for institutional hedging needs. This suggests institutional clients prefer regulated spot and futures products — exactly what Coinbase Prime and its regulated exchanges offer.</w:t>
      </w:r>
    </w:p>
    <w:p>
      <w:pPr>
        <w:pStyle w:val="ListBullet"/>
        <w:ind w:left="360" w:hanging="360"/>
      </w:pPr>
      <w:r>
        <w:rPr>
          <w:rFonts w:ascii="Calibri" w:hAnsi="Calibri"/>
          <w:b/>
          <w:color w:val="525866"/>
          <w:sz w:val="22"/>
        </w:rPr>
        <w:t xml:space="preserve">General Market Volumes Strong (Positive Macro Read-Through): </w:t>
      </w:r>
      <w:r>
        <w:rPr>
          <w:rFonts w:ascii="Calibri" w:hAnsi="Calibri"/>
          <w:color w:val="525866"/>
          <w:sz w:val="22"/>
        </w:rPr>
        <w:t>CME Q2 ADV of 29.8M contracts was the second-highest Q2 in history. July-to-date tracking 18% ahead of last year. A generally active trading environment is a positive backdrop for COIN's overall volumes.</w:t>
      </w:r>
    </w:p>
    <w:p>
      <w:pPr>
        <w:pStyle w:val="Heading3"/>
      </w:pPr>
      <w:r>
        <w:rPr>
          <w:rFonts w:ascii="Calibri" w:hAnsi="Calibri"/>
          <w:b/>
          <w:color w:val="3B4259"/>
          <w:sz w:val="24"/>
        </w:rPr>
        <w:t>Nasdaq (NDAQ) — Q2 2026 Earnings Call (July 23, 2026) &amp; Piper Sandler Conference (June 4, 2026)</w:t>
      </w:r>
    </w:p>
    <w:p>
      <w:pPr>
        <w:pStyle w:val="ListBullet"/>
        <w:ind w:left="360" w:hanging="360"/>
      </w:pPr>
      <w:r>
        <w:rPr>
          <w:rFonts w:ascii="Calibri" w:hAnsi="Calibri"/>
          <w:b/>
          <w:color w:val="525866"/>
          <w:sz w:val="22"/>
        </w:rPr>
        <w:t xml:space="preserve">Record Derivatives Volumes (Positive Macro Read-Through): </w:t>
      </w:r>
      <w:r>
        <w:rPr>
          <w:rFonts w:ascii="Calibri" w:hAnsi="Calibri"/>
          <w:color w:val="525866"/>
          <w:sz w:val="22"/>
        </w:rPr>
        <w:t>Nasdaq reported record derivatives contract volumes up 33% in Q2, record U.S. cash equity volumes, and a record Russell reconstitution ($334B notional). This broad market activity is a positive backdrop for crypto trading engagement.</w:t>
      </w:r>
    </w:p>
    <w:p>
      <w:pPr>
        <w:pStyle w:val="ListBullet"/>
        <w:ind w:left="360" w:hanging="360"/>
      </w:pPr>
      <w:r>
        <w:rPr>
          <w:rFonts w:ascii="Calibri" w:hAnsi="Calibri"/>
          <w:b/>
          <w:color w:val="525866"/>
          <w:sz w:val="22"/>
        </w:rPr>
        <w:t xml:space="preserve">Digital Asset Platform Demand Accelerating (Positive Institutional Read-Through): </w:t>
      </w:r>
      <w:r>
        <w:rPr>
          <w:rFonts w:ascii="Calibri" w:hAnsi="Calibri"/>
          <w:color w:val="525866"/>
          <w:sz w:val="22"/>
        </w:rPr>
        <w:t>Nasdaq noted "significant demand from clients expanding into new markets, including energy and digital assets" in its surveillance business, and that "rising demand from digital asset platforms continues to accelerate interest in our data solutions." This signals growing institutional infrastructure investment in digital assets, benefiting COIN's institutional custody and prime brokerage.</w:t>
      </w:r>
    </w:p>
    <w:p>
      <w:pPr>
        <w:pStyle w:val="ListBullet"/>
        <w:ind w:left="360" w:hanging="360"/>
      </w:pPr>
      <w:r>
        <w:rPr>
          <w:rFonts w:ascii="Calibri" w:hAnsi="Calibri"/>
          <w:b/>
          <w:color w:val="525866"/>
          <w:sz w:val="22"/>
        </w:rPr>
        <w:t xml:space="preserve">Tokenized Collateral Pilot (Positive Stablecoin/Tokenization Read-Through): </w:t>
      </w:r>
      <w:r>
        <w:rPr>
          <w:rFonts w:ascii="Calibri" w:hAnsi="Calibri"/>
          <w:color w:val="525866"/>
          <w:sz w:val="22"/>
        </w:rPr>
        <w:t>Nasdaq piloted tokenized collateral trades on the Canton network in July with two leading asset managers, using tokenized money market funds as collateral. This validates the tokenization trend central to Coinbase's Everything Exchange strategy.</w:t>
      </w:r>
    </w:p>
    <w:p>
      <w:pPr>
        <w:pStyle w:val="ListBullet"/>
        <w:ind w:left="360" w:hanging="360"/>
      </w:pPr>
      <w:r>
        <w:rPr>
          <w:rFonts w:ascii="Calibri" w:hAnsi="Calibri"/>
          <w:b/>
          <w:color w:val="525866"/>
          <w:sz w:val="22"/>
        </w:rPr>
        <w:t xml:space="preserve">Perpetuals Regulatory Commentary (Neutral/Monitoring): </w:t>
      </w:r>
      <w:r>
        <w:rPr>
          <w:rFonts w:ascii="Calibri" w:hAnsi="Calibri"/>
          <w:color w:val="525866"/>
          <w:sz w:val="22"/>
        </w:rPr>
        <w:t>Nasdaq CEO Adena Friedman noted perpetuals "solve the ability to trade with leverage" in crypto but that "those two things are very, very accessible in the equities world today." She did not view equity perpetuals as a direct competitive threat to Nasdaq, suggesting the regulatory debate is primarily a crypto-sector issue.</w:t>
      </w:r>
    </w:p>
    <w:p>
      <w:pPr>
        <w:pStyle w:val="ListBullet"/>
        <w:ind w:left="360" w:hanging="360"/>
      </w:pPr>
      <w:r>
        <w:rPr>
          <w:rFonts w:ascii="Calibri" w:hAnsi="Calibri"/>
          <w:b/>
          <w:color w:val="525866"/>
          <w:sz w:val="22"/>
        </w:rPr>
        <w:t xml:space="preserve">Constructive Regulatory Environment (Positive): </w:t>
      </w:r>
      <w:r>
        <w:rPr>
          <w:rFonts w:ascii="Calibri" w:hAnsi="Calibri"/>
          <w:color w:val="525866"/>
          <w:sz w:val="22"/>
        </w:rPr>
        <w:t>Nasdaq noted it is "working constructively with regulators who are seeking to encourage innovation, including always-on markets and tokenization of assets." Aligns with Coinbase's regulatory narrative.</w:t>
      </w:r>
    </w:p>
    <w:p>
      <w:pPr>
        <w:pStyle w:val="Heading3"/>
      </w:pPr>
      <w:r>
        <w:rPr>
          <w:rFonts w:ascii="Calibri" w:hAnsi="Calibri"/>
          <w:b/>
          <w:color w:val="3B4259"/>
          <w:sz w:val="24"/>
        </w:rPr>
        <w:t>Galaxy Digital (GLXY) — Piper Sandler Conference (June 4, 2026)</w:t>
      </w:r>
    </w:p>
    <w:p>
      <w:pPr>
        <w:pStyle w:val="ListBullet"/>
        <w:ind w:left="360" w:hanging="360"/>
      </w:pPr>
      <w:r>
        <w:rPr>
          <w:rFonts w:ascii="Calibri" w:hAnsi="Calibri"/>
          <w:b/>
          <w:color w:val="525866"/>
          <w:sz w:val="22"/>
        </w:rPr>
        <w:t xml:space="preserve">Crypto Assets "Challenged" in Q2 (Negative Direct Read-Through): </w:t>
      </w:r>
      <w:r>
        <w:rPr>
          <w:rFonts w:ascii="Calibri" w:hAnsi="Calibri"/>
          <w:color w:val="525866"/>
          <w:sz w:val="22"/>
        </w:rPr>
        <w:t>Galaxy Digital CEO Chris Ferraro explicitly stated that "crypto assets... have been challenged" in Q2, attributing this to "capital flow shifts and excitement shifts away from crypto assets into those other areas, namely AI." He described crypto as "very momentum driven, very speculation driven" with speculative dollars rotating to AI. This is the most direct negative read-through for COIN's Q2 transaction revenue.</w:t>
      </w:r>
    </w:p>
    <w:p>
      <w:pPr>
        <w:pStyle w:val="ListBullet"/>
        <w:ind w:left="360" w:hanging="360"/>
      </w:pPr>
      <w:r>
        <w:rPr>
          <w:rFonts w:ascii="Calibri" w:hAnsi="Calibri"/>
          <w:b/>
          <w:color w:val="525866"/>
          <w:sz w:val="22"/>
        </w:rPr>
        <w:t xml:space="preserve">Institutional Demand for Digital Infrastructure (Positive Long-Term): </w:t>
      </w:r>
      <w:r>
        <w:rPr>
          <w:rFonts w:ascii="Calibri" w:hAnsi="Calibri"/>
          <w:color w:val="525866"/>
          <w:sz w:val="22"/>
        </w:rPr>
        <w:t>Ferraro noted "many global financial institutions have decided finally that digital infrastructure is coming for traditional financial rails," with major banks becoming "potential clients" rather than competitors. This is a positive long-term signal for Coinbase Prime and institutional custody.</w:t>
      </w:r>
    </w:p>
    <w:p>
      <w:pPr>
        <w:pStyle w:val="ListBullet"/>
        <w:ind w:left="360" w:hanging="360"/>
      </w:pPr>
      <w:r>
        <w:rPr>
          <w:rFonts w:ascii="Calibri" w:hAnsi="Calibri"/>
          <w:b/>
          <w:color w:val="525866"/>
          <w:sz w:val="22"/>
        </w:rPr>
        <w:t xml:space="preserve">CLARITY Act Odds Better Than 50/50 (Regulatory Catalyst): </w:t>
      </w:r>
      <w:r>
        <w:rPr>
          <w:rFonts w:ascii="Calibri" w:hAnsi="Calibri"/>
          <w:color w:val="525866"/>
          <w:sz w:val="22"/>
        </w:rPr>
        <w:t>Galaxy Digital assessed CLARITY Act passage odds as "better than 50/50" as of June 4, though acknowledged "that number does move around daily." Ferraro called it "wildly important for the digital asset industry."</w:t>
      </w:r>
    </w:p>
    <w:p>
      <w:pPr>
        <w:pStyle w:val="Heading3"/>
      </w:pPr>
      <w:r>
        <w:rPr>
          <w:rFonts w:ascii="Calibri" w:hAnsi="Calibri"/>
          <w:b/>
          <w:color w:val="3B4259"/>
          <w:sz w:val="24"/>
        </w:rPr>
        <w:t>Charles Schwab (SCHW) — Q2 2026 Earnings (July 21, 2026)</w:t>
      </w:r>
    </w:p>
    <w:p>
      <w:pPr>
        <w:pStyle w:val="ListBullet"/>
        <w:ind w:left="360" w:hanging="360"/>
      </w:pPr>
      <w:r>
        <w:rPr>
          <w:rFonts w:ascii="Calibri" w:hAnsi="Calibri"/>
          <w:b/>
          <w:color w:val="525866"/>
          <w:sz w:val="22"/>
        </w:rPr>
        <w:t xml:space="preserve">Record Retail Trading Activity (Positive Macro Read-Through): </w:t>
      </w:r>
      <w:r>
        <w:rPr>
          <w:rFonts w:ascii="Calibri" w:hAnsi="Calibri"/>
          <w:color w:val="525866"/>
          <w:sz w:val="22"/>
        </w:rPr>
        <w:t>Schwab reported a record 11.9M daily average revenue trades in Q2, up 57% YoY. Trading revenue rose 28% to $1.2B. Clients showed 3.5x more trading volume on down-market days (dip-buying behavior). Client interest rotated from "Magnificent Seven" stocks toward AI-related trades. This broad retail engagement is a positive backdrop for crypto trading, though the AI rotation is consistent with Galaxy's observation of capital flows away from crypto.</w:t>
      </w:r>
    </w:p>
    <w:p>
      <w:r>
        <w:br w:type="page"/>
      </w:r>
    </w:p>
    <w:p>
      <w:pPr>
        <w:pStyle w:val="Heading2"/>
      </w:pPr>
      <w:r>
        <w:rPr>
          <w:rFonts w:ascii="Calibri" w:hAnsi="Calibri"/>
          <w:b/>
          <w:color w:val="3B4259"/>
          <w:sz w:val="28"/>
        </w:rPr>
        <w:t>8. Insider Transaction Activity (Since May 7, 2026 Q1 Earnings)</w:t>
      </w:r>
    </w:p>
    <w:p>
      <w:r>
        <w:rPr>
          <w:rFonts w:ascii="Calibri" w:hAnsi="Calibri"/>
          <w:b/>
          <w:color w:val="525866"/>
          <w:sz w:val="22"/>
        </w:rPr>
        <w:t xml:space="preserve">Key Takeaway: </w:t>
      </w:r>
      <w:r>
        <w:rPr>
          <w:rFonts w:ascii="Calibri" w:hAnsi="Calibri"/>
          <w:color w:val="525866"/>
          <w:sz w:val="22"/>
        </w:rPr>
        <w:t xml:space="preserve">All insider transactions since Q1 earnings are </w:t>
      </w:r>
      <w:r>
        <w:rPr>
          <w:rFonts w:ascii="Calibri" w:hAnsi="Calibri"/>
          <w:b/>
          <w:color w:val="525866"/>
          <w:sz w:val="22"/>
        </w:rPr>
        <w:t>open-market sales under pre-established 10b5-1 plans</w:t>
      </w:r>
      <w:r>
        <w:rPr>
          <w:rFonts w:ascii="Calibri" w:hAnsi="Calibri"/>
          <w:color w:val="525866"/>
          <w:sz w:val="22"/>
        </w:rPr>
        <w:t xml:space="preserve"> — no discretionary buys, no unusual sale sizes, and no clustering that would signal insider concern. The absence of open-market purchases is notable given the stock's ~17% decline since Q1 earnings, but the 10b5-1 nature of all sales means they are obligation-driven rather than discretionary signals.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Filing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Alesia J. Haas</w:t>
            </w:r>
          </w:p>
        </w:tc>
        <w:tc>
          <w:tcPr>
            <w:tcW w:type="dxa" w:w="1234"/>
          </w:tcPr>
          <w:p>
            <w:r>
              <w:rPr>
                <w:rFonts w:ascii="Calibri" w:hAnsi="Calibri"/>
                <w:sz w:val="22"/>
              </w:rPr>
              <w:t>Chief Financial Officer</w:t>
            </w:r>
          </w:p>
        </w:tc>
        <w:tc>
          <w:tcPr>
            <w:tcW w:type="dxa" w:w="1234"/>
          </w:tcPr>
          <w:p>
            <w:r>
              <w:rPr>
                <w:rFonts w:ascii="Calibri" w:hAnsi="Calibri"/>
                <w:sz w:val="22"/>
              </w:rPr>
              <w:t>10b5-1 Planned Sale</w:t>
            </w:r>
          </w:p>
        </w:tc>
        <w:tc>
          <w:tcPr>
            <w:tcW w:type="dxa" w:w="1234"/>
          </w:tcPr>
          <w:p>
            <w:r>
              <w:rPr>
                <w:rFonts w:ascii="Calibri" w:hAnsi="Calibri"/>
                <w:sz w:val="22"/>
              </w:rPr>
              <w:t>9,750 shares</w:t>
            </w:r>
          </w:p>
        </w:tc>
        <w:tc>
          <w:tcPr>
            <w:tcW w:type="dxa" w:w="1234"/>
          </w:tcPr>
          <w:p>
            <w:r>
              <w:rPr>
                <w:rFonts w:ascii="Calibri" w:hAnsi="Calibri"/>
                <w:sz w:val="22"/>
              </w:rPr>
              <w:t>May 15, 2026</w:t>
            </w:r>
          </w:p>
        </w:tc>
        <w:tc>
          <w:tcPr>
            <w:tcW w:type="dxa" w:w="1234"/>
          </w:tcPr>
          <w:p>
            <w:r>
              <w:rPr>
                <w:rFonts w:ascii="Calibri" w:hAnsi="Calibri"/>
                <w:sz w:val="22"/>
              </w:rPr>
              <w:t>May 19, 2026</w:t>
            </w:r>
          </w:p>
        </w:tc>
        <w:tc>
          <w:tcPr>
            <w:tcW w:type="dxa" w:w="1234"/>
          </w:tcPr>
          <w:p>
            <w:r>
              <w:rPr>
                <w:rFonts w:ascii="Calibri" w:hAnsi="Calibri"/>
                <w:sz w:val="22"/>
              </w:rPr>
              <w:t>Pre-planned 10b5-1 sale; 9,750 shares of Class A Common Stock; 367,451 shares retained post-transaction</w:t>
            </w:r>
          </w:p>
        </w:tc>
      </w:tr>
      <w:tr>
        <w:tc>
          <w:tcPr>
            <w:tcW w:type="dxa" w:w="1234"/>
          </w:tcPr>
          <w:p>
            <w:r>
              <w:rPr>
                <w:rFonts w:ascii="Calibri" w:hAnsi="Calibri"/>
                <w:sz w:val="22"/>
              </w:rPr>
              <w:t>Lawrence J. Brock</w:t>
            </w:r>
          </w:p>
        </w:tc>
        <w:tc>
          <w:tcPr>
            <w:tcW w:type="dxa" w:w="1234"/>
          </w:tcPr>
          <w:p>
            <w:r>
              <w:rPr>
                <w:rFonts w:ascii="Calibri" w:hAnsi="Calibri"/>
                <w:sz w:val="22"/>
              </w:rPr>
              <w:t>Chief People Officer</w:t>
            </w:r>
          </w:p>
        </w:tc>
        <w:tc>
          <w:tcPr>
            <w:tcW w:type="dxa" w:w="1234"/>
          </w:tcPr>
          <w:p>
            <w:r>
              <w:rPr>
                <w:rFonts w:ascii="Calibri" w:hAnsi="Calibri"/>
                <w:sz w:val="22"/>
              </w:rPr>
              <w:t>10b5-1 Planned Sale</w:t>
            </w:r>
          </w:p>
        </w:tc>
        <w:tc>
          <w:tcPr>
            <w:tcW w:type="dxa" w:w="1234"/>
          </w:tcPr>
          <w:p>
            <w:r>
              <w:rPr>
                <w:rFonts w:ascii="Calibri" w:hAnsi="Calibri"/>
                <w:sz w:val="22"/>
              </w:rPr>
              <w:t>6,616 shares</w:t>
            </w:r>
          </w:p>
        </w:tc>
        <w:tc>
          <w:tcPr>
            <w:tcW w:type="dxa" w:w="1234"/>
          </w:tcPr>
          <w:p>
            <w:r>
              <w:rPr>
                <w:rFonts w:ascii="Calibri" w:hAnsi="Calibri"/>
                <w:sz w:val="22"/>
              </w:rPr>
              <w:t>May 22, 2026</w:t>
            </w:r>
          </w:p>
        </w:tc>
        <w:tc>
          <w:tcPr>
            <w:tcW w:type="dxa" w:w="1234"/>
          </w:tcPr>
          <w:p>
            <w:r>
              <w:rPr>
                <w:rFonts w:ascii="Calibri" w:hAnsi="Calibri"/>
                <w:sz w:val="22"/>
              </w:rPr>
              <w:t>May 27, 2026</w:t>
            </w:r>
          </w:p>
        </w:tc>
        <w:tc>
          <w:tcPr>
            <w:tcW w:type="dxa" w:w="1234"/>
          </w:tcPr>
          <w:p>
            <w:r>
              <w:rPr>
                <w:rFonts w:ascii="Calibri" w:hAnsi="Calibri"/>
                <w:sz w:val="22"/>
              </w:rPr>
              <w:t>Pre-planned 10b5-1 sale; 517 shares retained post-transaction; Brock subsequently announced departure effective August 17, 2026</w:t>
            </w:r>
          </w:p>
        </w:tc>
      </w:tr>
      <w:tr>
        <w:tc>
          <w:tcPr>
            <w:tcW w:type="dxa" w:w="1234"/>
          </w:tcPr>
          <w:p>
            <w:r>
              <w:rPr>
                <w:rFonts w:ascii="Calibri" w:hAnsi="Calibri"/>
                <w:sz w:val="22"/>
              </w:rPr>
              <w:t>Paul Grewal</w:t>
            </w:r>
          </w:p>
        </w:tc>
        <w:tc>
          <w:tcPr>
            <w:tcW w:type="dxa" w:w="1234"/>
          </w:tcPr>
          <w:p>
            <w:r>
              <w:rPr>
                <w:rFonts w:ascii="Calibri" w:hAnsi="Calibri"/>
                <w:sz w:val="22"/>
              </w:rPr>
              <w:t>Chief Legal Officer</w:t>
            </w:r>
          </w:p>
        </w:tc>
        <w:tc>
          <w:tcPr>
            <w:tcW w:type="dxa" w:w="1234"/>
          </w:tcPr>
          <w:p>
            <w:r>
              <w:rPr>
                <w:rFonts w:ascii="Calibri" w:hAnsi="Calibri"/>
                <w:sz w:val="22"/>
              </w:rPr>
              <w:t>10b5-1 Planned Sale</w:t>
            </w:r>
          </w:p>
        </w:tc>
        <w:tc>
          <w:tcPr>
            <w:tcW w:type="dxa" w:w="1234"/>
          </w:tcPr>
          <w:p>
            <w:r>
              <w:rPr>
                <w:rFonts w:ascii="Calibri" w:hAnsi="Calibri"/>
                <w:sz w:val="22"/>
              </w:rPr>
              <w:t>1,960 shares</w:t>
            </w:r>
          </w:p>
        </w:tc>
        <w:tc>
          <w:tcPr>
            <w:tcW w:type="dxa" w:w="1234"/>
          </w:tcPr>
          <w:p>
            <w:r>
              <w:rPr>
                <w:rFonts w:ascii="Calibri" w:hAnsi="Calibri"/>
                <w:sz w:val="22"/>
              </w:rPr>
              <w:t>May 27, 2026</w:t>
            </w:r>
          </w:p>
        </w:tc>
        <w:tc>
          <w:tcPr>
            <w:tcW w:type="dxa" w:w="1234"/>
          </w:tcPr>
          <w:p>
            <w:r>
              <w:rPr>
                <w:rFonts w:ascii="Calibri" w:hAnsi="Calibri"/>
                <w:sz w:val="22"/>
              </w:rPr>
              <w:t>May 29, 2026</w:t>
            </w:r>
          </w:p>
        </w:tc>
        <w:tc>
          <w:tcPr>
            <w:tcW w:type="dxa" w:w="1234"/>
          </w:tcPr>
          <w:p>
            <w:r>
              <w:rPr>
                <w:rFonts w:ascii="Calibri" w:hAnsi="Calibri"/>
                <w:sz w:val="22"/>
              </w:rPr>
              <w:t>Pre-planned 10b5-1 sale; 84,753 shares retained post-transaction; Grewal subsequently announced departure effective July 31, 2026</w:t>
            </w:r>
          </w:p>
        </w:tc>
      </w:tr>
      <w:tr>
        <w:tc>
          <w:tcPr>
            <w:tcW w:type="dxa" w:w="1234"/>
          </w:tcPr>
          <w:p>
            <w:r>
              <w:rPr>
                <w:rFonts w:ascii="Calibri" w:hAnsi="Calibri"/>
                <w:sz w:val="22"/>
              </w:rPr>
              <w:t>Frederick R. Wilson</w:t>
            </w:r>
          </w:p>
        </w:tc>
        <w:tc>
          <w:tcPr>
            <w:tcW w:type="dxa" w:w="1234"/>
          </w:tcPr>
          <w:p>
            <w:r>
              <w:rPr>
                <w:rFonts w:ascii="Calibri" w:hAnsi="Calibri"/>
                <w:sz w:val="22"/>
              </w:rPr>
              <w:t>Director</w:t>
            </w:r>
          </w:p>
        </w:tc>
        <w:tc>
          <w:tcPr>
            <w:tcW w:type="dxa" w:w="1234"/>
          </w:tcPr>
          <w:p>
            <w:r>
              <w:rPr>
                <w:rFonts w:ascii="Calibri" w:hAnsi="Calibri"/>
                <w:sz w:val="22"/>
              </w:rPr>
              <w:t>10b5-1 Planned Sale</w:t>
            </w:r>
          </w:p>
        </w:tc>
        <w:tc>
          <w:tcPr>
            <w:tcW w:type="dxa" w:w="1234"/>
          </w:tcPr>
          <w:p>
            <w:r>
              <w:rPr>
                <w:rFonts w:ascii="Calibri" w:hAnsi="Calibri"/>
                <w:sz w:val="22"/>
              </w:rPr>
              <w:t>10,000 shares</w:t>
            </w:r>
          </w:p>
        </w:tc>
        <w:tc>
          <w:tcPr>
            <w:tcW w:type="dxa" w:w="1234"/>
          </w:tcPr>
          <w:p>
            <w:r>
              <w:rPr>
                <w:rFonts w:ascii="Calibri" w:hAnsi="Calibri"/>
                <w:sz w:val="22"/>
              </w:rPr>
              <w:t>June 1, 2026</w:t>
            </w:r>
          </w:p>
        </w:tc>
        <w:tc>
          <w:tcPr>
            <w:tcW w:type="dxa" w:w="1234"/>
          </w:tcPr>
          <w:p>
            <w:r>
              <w:rPr>
                <w:rFonts w:ascii="Calibri" w:hAnsi="Calibri"/>
                <w:sz w:val="22"/>
              </w:rPr>
              <w:t>June 3, 2026</w:t>
            </w:r>
          </w:p>
        </w:tc>
        <w:tc>
          <w:tcPr>
            <w:tcW w:type="dxa" w:w="1234"/>
          </w:tcPr>
          <w:p>
            <w:r>
              <w:rPr>
                <w:rFonts w:ascii="Calibri" w:hAnsi="Calibri"/>
                <w:sz w:val="22"/>
              </w:rPr>
              <w:t>Pre-planned 10b5-1 sale via Fred and Joanne Wilson 2012 Delaware Trust (indirect ownership); 30,000 shares retained post-transaction</w:t>
            </w:r>
          </w:p>
        </w:tc>
      </w:tr>
      <w:tr>
        <w:tc>
          <w:tcPr>
            <w:tcW w:type="dxa" w:w="1234"/>
          </w:tcPr>
          <w:p>
            <w:r>
              <w:rPr>
                <w:rFonts w:ascii="Calibri" w:hAnsi="Calibri"/>
                <w:sz w:val="22"/>
              </w:rPr>
              <w:t>Frederick R. Wilson</w:t>
            </w:r>
          </w:p>
        </w:tc>
        <w:tc>
          <w:tcPr>
            <w:tcW w:type="dxa" w:w="1234"/>
          </w:tcPr>
          <w:p>
            <w:r>
              <w:rPr>
                <w:rFonts w:ascii="Calibri" w:hAnsi="Calibri"/>
                <w:sz w:val="22"/>
              </w:rPr>
              <w:t>Director</w:t>
            </w:r>
          </w:p>
        </w:tc>
        <w:tc>
          <w:tcPr>
            <w:tcW w:type="dxa" w:w="1234"/>
          </w:tcPr>
          <w:p>
            <w:r>
              <w:rPr>
                <w:rFonts w:ascii="Calibri" w:hAnsi="Calibri"/>
                <w:sz w:val="22"/>
              </w:rPr>
              <w:t>10b5-1 Planned Sale</w:t>
            </w:r>
          </w:p>
        </w:tc>
        <w:tc>
          <w:tcPr>
            <w:tcW w:type="dxa" w:w="1234"/>
          </w:tcPr>
          <w:p>
            <w:r>
              <w:rPr>
                <w:rFonts w:ascii="Calibri" w:hAnsi="Calibri"/>
                <w:sz w:val="22"/>
              </w:rPr>
              <w:t>10,000 shares</w:t>
            </w:r>
          </w:p>
        </w:tc>
        <w:tc>
          <w:tcPr>
            <w:tcW w:type="dxa" w:w="1234"/>
          </w:tcPr>
          <w:p>
            <w:r>
              <w:rPr>
                <w:rFonts w:ascii="Calibri" w:hAnsi="Calibri"/>
                <w:sz w:val="22"/>
              </w:rPr>
              <w:t>July 1, 2026</w:t>
            </w:r>
          </w:p>
        </w:tc>
        <w:tc>
          <w:tcPr>
            <w:tcW w:type="dxa" w:w="1234"/>
          </w:tcPr>
          <w:p>
            <w:r>
              <w:rPr>
                <w:rFonts w:ascii="Calibri" w:hAnsi="Calibri"/>
                <w:sz w:val="22"/>
              </w:rPr>
              <w:t>July 6, 2026</w:t>
            </w:r>
          </w:p>
        </w:tc>
        <w:tc>
          <w:tcPr>
            <w:tcW w:type="dxa" w:w="1234"/>
          </w:tcPr>
          <w:p>
            <w:r>
              <w:rPr>
                <w:rFonts w:ascii="Calibri" w:hAnsi="Calibri"/>
                <w:sz w:val="22"/>
              </w:rPr>
              <w:t>Pre-planned 10b5-1 sale via Fred and Joanne Wilson 2012 Delaware Trust (indirect ownership); 20,000 shares retained post-transaction; consistent monthly cadence</w:t>
            </w:r>
          </w:p>
        </w:tc>
      </w:tr>
    </w:tbl>
    <w:p>
      <w:r>
        <w:rPr>
          <w:rFonts w:ascii="Calibri" w:hAnsi="Calibri"/>
          <w:i/>
          <w:color w:val="525866"/>
          <w:sz w:val="22"/>
        </w:rPr>
        <w:t>Source: Insider Transaction Data (SEC Form 4 Filings). All transactions are open-market sales under pre-established 10b5-1 trading plans (obligation-driven, not discretionary). No open-market purchases were filed in the period. The subsequent departures of Brock and Grewal are notable context for their May sales, though the 10b5-1 plans were established prior to any departure decisions.</w:t>
      </w:r>
    </w:p>
    <w:p>
      <w:r>
        <w:br w:type="page"/>
      </w:r>
    </w:p>
    <w:p>
      <w:pPr>
        <w:pStyle w:val="Heading2"/>
      </w:pPr>
      <w:r>
        <w:rPr>
          <w:rFonts w:ascii="Calibri" w:hAnsi="Calibri"/>
          <w:b/>
          <w:color w:val="3B4259"/>
          <w:sz w:val="28"/>
        </w:rPr>
        <w:t>9. Key Risks &amp; Questions for Management</w:t>
      </w:r>
    </w:p>
    <w:p>
      <w:pPr>
        <w:pStyle w:val="Heading3"/>
      </w:pPr>
      <w:r>
        <w:rPr>
          <w:rFonts w:ascii="Calibri" w:hAnsi="Calibri"/>
          <w:b/>
          <w:color w:val="3B4259"/>
          <w:sz w:val="24"/>
        </w:rPr>
        <w:t>Key Risks</w:t>
      </w:r>
    </w:p>
    <w:p>
      <w:pPr>
        <w:pStyle w:val="ListBullet"/>
        <w:ind w:left="360" w:hanging="360"/>
      </w:pPr>
      <w:r>
        <w:rPr>
          <w:rFonts w:ascii="Calibri" w:hAnsi="Calibri"/>
          <w:b/>
          <w:color w:val="525866"/>
          <w:sz w:val="22"/>
        </w:rPr>
        <w:t xml:space="preserve">Transaction Revenue Downside: </w:t>
      </w:r>
      <w:r>
        <w:rPr>
          <w:rFonts w:ascii="Calibri" w:hAnsi="Calibri"/>
          <w:color w:val="525866"/>
          <w:sz w:val="22"/>
        </w:rPr>
        <w:t>Crypto market cap and trading volumes declined meaningfully through Q2. Prediction-market data and Robinhood's commentary suggest the street's $632M estimate may still be too high. A miss here would be the third consecutive quarter of transaction revenue below consensus.</w:t>
      </w:r>
    </w:p>
    <w:p>
      <w:pPr>
        <w:pStyle w:val="ListBullet"/>
        <w:ind w:left="360" w:hanging="360"/>
      </w:pPr>
      <w:r>
        <w:rPr>
          <w:rFonts w:ascii="Calibri" w:hAnsi="Calibri"/>
          <w:b/>
          <w:color w:val="525866"/>
          <w:sz w:val="22"/>
        </w:rPr>
        <w:t xml:space="preserve">CLARITY Act Failure Risk: </w:t>
      </w:r>
      <w:r>
        <w:rPr>
          <w:rFonts w:ascii="Calibri" w:hAnsi="Calibri"/>
          <w:color w:val="525866"/>
          <w:sz w:val="22"/>
        </w:rPr>
        <w:t>The Senate faces an August 7 recess deadline. Failure to pass the bill before recess could "shut the door on crypto market-structure legislation for years" (Barron's). This is the single largest binary risk for COIN's regulatory narrative and stock multiple.</w:t>
      </w:r>
    </w:p>
    <w:p>
      <w:pPr>
        <w:pStyle w:val="ListBullet"/>
        <w:ind w:left="360" w:hanging="360"/>
      </w:pPr>
      <w:r>
        <w:rPr>
          <w:rFonts w:ascii="Calibri" w:hAnsi="Calibri"/>
          <w:b/>
          <w:color w:val="525866"/>
          <w:sz w:val="22"/>
        </w:rPr>
        <w:t xml:space="preserve">C-Suite Instability: </w:t>
      </w:r>
      <w:r>
        <w:rPr>
          <w:rFonts w:ascii="Calibri" w:hAnsi="Calibri"/>
          <w:color w:val="525866"/>
          <w:sz w:val="22"/>
        </w:rPr>
        <w:t>Two C-suite departures in two weeks (CLO Grewal effective July 31, CPO Brock effective August 17) heading into earnings. Management will face questions about organizational continuity, particularly on regulatory strategy given Grewal's central role.</w:t>
      </w:r>
    </w:p>
    <w:p>
      <w:pPr>
        <w:pStyle w:val="ListBullet"/>
        <w:ind w:left="360" w:hanging="360"/>
      </w:pPr>
      <w:r>
        <w:rPr>
          <w:rFonts w:ascii="Calibri" w:hAnsi="Calibri"/>
          <w:b/>
          <w:color w:val="525866"/>
          <w:sz w:val="22"/>
        </w:rPr>
        <w:t xml:space="preserve">Perpetuals Regulatory Uncertainty: </w:t>
      </w:r>
      <w:r>
        <w:rPr>
          <w:rFonts w:ascii="Calibri" w:hAnsi="Calibri"/>
          <w:color w:val="525866"/>
          <w:sz w:val="22"/>
        </w:rPr>
        <w:t>CME's litigation arguing perpetuals are swaps (not futures) could subject Coinbase's International Exchange perpetual offerings to stricter regulatory requirements if the CFTC or courts adopt this view.</w:t>
      </w:r>
    </w:p>
    <w:p>
      <w:pPr>
        <w:pStyle w:val="ListBullet"/>
        <w:ind w:left="360" w:hanging="360"/>
      </w:pPr>
      <w:r>
        <w:rPr>
          <w:rFonts w:ascii="Calibri" w:hAnsi="Calibri"/>
          <w:b/>
          <w:color w:val="525866"/>
          <w:sz w:val="22"/>
        </w:rPr>
        <w:t xml:space="preserve">Competitive Pressure from Robinhood Chain: </w:t>
      </w:r>
      <w:r>
        <w:rPr>
          <w:rFonts w:ascii="Calibri" w:hAnsi="Calibri"/>
          <w:color w:val="525866"/>
          <w:sz w:val="22"/>
        </w:rPr>
        <w:t>Robinhood Chain's rapid traction ($12B+ DEX volume, 100M transactions) and Robinhood Earn's 7% APY stablecoin product are direct competitive threats to Coinbase's Base chain and USDC ecosystem.</w:t>
      </w:r>
    </w:p>
    <w:p>
      <w:pPr>
        <w:pStyle w:val="ListBullet"/>
        <w:ind w:left="360" w:hanging="360"/>
      </w:pPr>
      <w:r>
        <w:rPr>
          <w:rFonts w:ascii="Calibri" w:hAnsi="Calibri"/>
          <w:b/>
          <w:color w:val="525866"/>
          <w:sz w:val="22"/>
        </w:rPr>
        <w:t xml:space="preserve">Crypto-to-AI Capital Rotation: </w:t>
      </w:r>
      <w:r>
        <w:rPr>
          <w:rFonts w:ascii="Calibri" w:hAnsi="Calibri"/>
          <w:color w:val="525866"/>
          <w:sz w:val="22"/>
        </w:rPr>
        <w:t>Galaxy Digital's observation that speculative capital is rotating from crypto to AI is a structural headwind for retail crypto trading volumes that may persist beyond Q2.</w:t>
      </w:r>
    </w:p>
    <w:p>
      <w:pPr>
        <w:pStyle w:val="Heading3"/>
      </w:pPr>
      <w:r>
        <w:rPr>
          <w:rFonts w:ascii="Calibri" w:hAnsi="Calibri"/>
          <w:b/>
          <w:color w:val="3B4259"/>
          <w:sz w:val="24"/>
        </w:rPr>
        <w:t>Key Questions for Management</w:t>
      </w:r>
    </w:p>
    <w:p>
      <w:pPr>
        <w:pStyle w:val="ListNumber"/>
        <w:ind w:left="360" w:hanging="360"/>
      </w:pPr>
      <w:r>
        <w:rPr>
          <w:rFonts w:ascii="Calibri" w:hAnsi="Calibri"/>
          <w:b/>
          <w:color w:val="525866"/>
          <w:sz w:val="22"/>
        </w:rPr>
        <w:t xml:space="preserve">Transaction Revenue &amp; Volume: </w:t>
      </w:r>
      <w:r>
        <w:rPr>
          <w:rFonts w:ascii="Calibri" w:hAnsi="Calibri"/>
          <w:color w:val="525866"/>
          <w:sz w:val="22"/>
        </w:rPr>
        <w:t>What was total trading volume in Q2? How did the take rate trend vs. Q1? Was there any mix shift toward lower-take-rate institutional volume?</w:t>
      </w:r>
    </w:p>
    <w:p>
      <w:pPr>
        <w:pStyle w:val="ListNumber"/>
        <w:ind w:left="360" w:hanging="360"/>
      </w:pPr>
      <w:r>
        <w:rPr>
          <w:rFonts w:ascii="Calibri" w:hAnsi="Calibri"/>
          <w:b/>
          <w:color w:val="525866"/>
          <w:sz w:val="22"/>
        </w:rPr>
        <w:t xml:space="preserve">CLARITY Act: </w:t>
      </w:r>
      <w:r>
        <w:rPr>
          <w:rFonts w:ascii="Calibri" w:hAnsi="Calibri"/>
          <w:color w:val="525866"/>
          <w:sz w:val="22"/>
        </w:rPr>
        <w:t>What is management's current assessment of Senate floor vote timing and probability? How does the stablecoin rewards compromise affect USDC revenue share economics specifically?</w:t>
      </w:r>
    </w:p>
    <w:p>
      <w:pPr>
        <w:pStyle w:val="ListNumber"/>
        <w:ind w:left="360" w:hanging="360"/>
      </w:pPr>
      <w:r>
        <w:rPr>
          <w:rFonts w:ascii="Calibri" w:hAnsi="Calibri"/>
          <w:b/>
          <w:color w:val="525866"/>
          <w:sz w:val="22"/>
        </w:rPr>
        <w:t xml:space="preserve">Deribit Integration: </w:t>
      </w:r>
      <w:r>
        <w:rPr>
          <w:rFonts w:ascii="Calibri" w:hAnsi="Calibri"/>
          <w:color w:val="525866"/>
          <w:sz w:val="22"/>
        </w:rPr>
        <w:t>Is the full integration (spot + perps + futures + options on single platform) still on track for 2026? What is the revenue contribution from Deribit in Q2?</w:t>
      </w:r>
    </w:p>
    <w:p>
      <w:pPr>
        <w:pStyle w:val="ListNumber"/>
        <w:ind w:left="360" w:hanging="360"/>
      </w:pPr>
      <w:r>
        <w:rPr>
          <w:rFonts w:ascii="Calibri" w:hAnsi="Calibri"/>
          <w:b/>
          <w:color w:val="525866"/>
          <w:sz w:val="22"/>
        </w:rPr>
        <w:t xml:space="preserve">Subscription &amp; Services: </w:t>
      </w:r>
      <w:r>
        <w:rPr>
          <w:rFonts w:ascii="Calibri" w:hAnsi="Calibri"/>
          <w:color w:val="525866"/>
          <w:sz w:val="22"/>
        </w:rPr>
        <w:t>Did S&amp;S revenue come in within the $565–$645M guidance range? What drove USDC on-platform balances in Q2 given the lower crypto market cap?</w:t>
      </w:r>
    </w:p>
    <w:p>
      <w:pPr>
        <w:pStyle w:val="ListNumber"/>
        <w:ind w:left="360" w:hanging="360"/>
      </w:pPr>
      <w:r>
        <w:rPr>
          <w:rFonts w:ascii="Calibri" w:hAnsi="Calibri"/>
          <w:b/>
          <w:color w:val="525866"/>
          <w:sz w:val="22"/>
        </w:rPr>
        <w:t xml:space="preserve">Expense Trajectory: </w:t>
      </w:r>
      <w:r>
        <w:rPr>
          <w:rFonts w:ascii="Calibri" w:hAnsi="Calibri"/>
          <w:color w:val="525866"/>
          <w:sz w:val="22"/>
        </w:rPr>
        <w:t>Did T&amp;D + G&amp;A come in within the $820–$870M guidance range? Are restructuring charges tracking to the $50–60M estimate? Is the full-year $4.3–$4.6B adjusted expense guidance still intact?</w:t>
      </w:r>
    </w:p>
    <w:p>
      <w:pPr>
        <w:pStyle w:val="ListNumber"/>
        <w:ind w:left="360" w:hanging="360"/>
      </w:pPr>
      <w:r>
        <w:rPr>
          <w:rFonts w:ascii="Calibri" w:hAnsi="Calibri"/>
          <w:b/>
          <w:color w:val="525866"/>
          <w:sz w:val="22"/>
        </w:rPr>
        <w:t xml:space="preserve">C-Suite Transitions: </w:t>
      </w:r>
      <w:r>
        <w:rPr>
          <w:rFonts w:ascii="Calibri" w:hAnsi="Calibri"/>
          <w:color w:val="525866"/>
          <w:sz w:val="22"/>
        </w:rPr>
        <w:t>How will regulatory strategy continuity be maintained following Grewal's departure? What is the timeline for Molly Abraham's formal appointment as General Counsel?</w:t>
      </w:r>
    </w:p>
    <w:p>
      <w:pPr>
        <w:pStyle w:val="ListNumber"/>
        <w:ind w:left="360" w:hanging="360"/>
      </w:pPr>
      <w:r>
        <w:rPr>
          <w:rFonts w:ascii="Calibri" w:hAnsi="Calibri"/>
          <w:b/>
          <w:color w:val="525866"/>
          <w:sz w:val="22"/>
        </w:rPr>
        <w:t xml:space="preserve">Base Chain &amp; Agentic Commerce: </w:t>
      </w:r>
      <w:r>
        <w:rPr>
          <w:rFonts w:ascii="Calibri" w:hAnsi="Calibri"/>
          <w:color w:val="525866"/>
          <w:sz w:val="22"/>
        </w:rPr>
        <w:t>What is the current revenue contribution from Base? How is x402 protocol adoption tracking? Is there any update on the planned Base token launch?</w:t>
      </w:r>
    </w:p>
    <w:p>
      <w:pPr>
        <w:pStyle w:val="ListNumber"/>
        <w:ind w:left="360" w:hanging="360"/>
      </w:pPr>
      <w:r>
        <w:rPr>
          <w:rFonts w:ascii="Calibri" w:hAnsi="Calibri"/>
          <w:b/>
          <w:color w:val="525866"/>
          <w:sz w:val="22"/>
        </w:rPr>
        <w:t xml:space="preserve">Capital Allocation: </w:t>
      </w:r>
      <w:r>
        <w:rPr>
          <w:rFonts w:ascii="Calibri" w:hAnsi="Calibri"/>
          <w:color w:val="525866"/>
          <w:sz w:val="22"/>
        </w:rPr>
        <w:t>Were the $1.3B June 2026 convertible notes retired as planned? What is the current share buyback pace and remaining authorization?</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