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t-earnings-predictions--2026-07-30"/>
    <w:p>
      <w:pPr>
        <w:pStyle w:val="Heading1"/>
      </w:pPr>
      <w:r>
        <w:t xml:space="preserve">CPT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Core FFO /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~$1.69 vs. cons $1.67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same-store revenue growth (YoY)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~+1.0% vs. cons +0.8%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same-store NOI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~-0.1% vs. cons -0.6%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guidance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~$6.78 vs. cons $6.75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~+0.75% vs. cons +0.8%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~$1.70 vs. cons $1.70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California portfolio disposition close/price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close ~</w:t>
            </w:r>
            <m:oMath>
              <m:r>
                <m:t>1.0</m:t>
              </m:r>
              <m:r>
                <m:t>B</m:t>
              </m:r>
              <m:r>
                <m:t>a</m:t>
              </m:r>
              <m:r>
                <m:t>t</m:t>
              </m:r>
              <m:r>
                <m:t> </m:t>
              </m:r>
              <m:r>
                <m:t>5.0</m:t>
              </m:r>
            </m:oMath>
            <w:r>
              <w:t xml:space="preserve">1.0B (2Q/3Q26)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-0.3% (FADE)</w:t>
            </w:r>
          </w:p>
        </w:tc>
        <w:tc>
          <w:tcPr/>
          <w:p>
            <w:pPr>
              <w:pStyle w:val="Compact"/>
            </w:pPr>
            <w:r>
              <w:t xml:space="preserve">A modest, largely pre-announced Core FFO beat leaning on timing/bad-debt tailwinds plus at-best a token FY midpoint raise gives a small positive day-1 pop, but out-period math works against follow-through: skepticism on the 2H 'hockey-stick' blended-rate ramp, Sunbelt oversupply still being digested (coastal peers outrunning the Sunbelt), Houston softness, and 1031/California-sale timing variability cause estimates to drift and the initial gain to fade back toward flat over 5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2026-07-29T19:40:35Z</dcterms:created>
  <dcterms:modified xsi:type="dcterms:W3CDTF">2026-07-29T19:40:35Z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