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CPT (Camden Property Trust) to build a well-informed earnings preview. Let me start by gathering recent filings, transcripts, and news.Let me read the Q1 2026 earnings materials and check recent news and stock performance.Let me pull recent stock performance and check for any news over a wider window, plus recent SEC filings.Let me check for peer read-throughs (residential REITs reporting this week) and any CPT 8-K activity around the California sale.Let me get one more Sunbelt peer read-through (MAA, the closest comp) to round out the setup.I now have a comprehensive picture. Here's the earnings preview.</w:t>
      </w:r>
    </w:p>
    <w:bookmarkStart w:id="18" w:name="Xdfc698c9e66c71b3c25c2434de746b76412151a"/>
    <w:p>
      <w:pPr>
        <w:pStyle w:val="Heading1"/>
      </w:pPr>
      <w:r>
        <w:t xml:space="preserve">Camden Property Trust (CPT) — Q2 2026 Earnings Preview</w:t>
      </w:r>
    </w:p>
    <w:bookmarkStart w:id="9" w:name="X2ac14d2054885a2b24f4c8a51a1b6ae2d32c3c4"/>
    <w:p>
      <w:pPr>
        <w:pStyle w:val="Heading3"/>
      </w:pPr>
      <w:r>
        <w:t xml:space="preserve">Reports after close July 30, 2026 | Conference call July 31, 2026</w:t>
      </w:r>
    </w:p>
    <w:p>
      <w:r>
        <w:pict>
          <v:rect style="width:0;height:1.5pt" o:hralign="center" o:hrstd="t" o:hr="t"/>
        </w:pict>
      </w:r>
    </w:p>
    <w:bookmarkEnd w:id="9"/>
    <w:bookmarkStart w:id="10" w:name="the-setup"/>
    <w:p>
      <w:pPr>
        <w:pStyle w:val="Heading2"/>
      </w:pPr>
      <w:r>
        <w:t xml:space="preserve">The Setup</w:t>
      </w:r>
    </w:p>
    <w:p>
      <w:pPr>
        <w:pStyle w:val="FirstParagraph"/>
      </w:pPr>
      <w:r>
        <w:t xml:space="preserve">Camden heads into Q2 as a company in transition — new executive team, a portfolio pivoting out of California and into the Sunbelt, and an apartment cycle that management insists is on the cusp of inflecting higher. The stock reflects that "show me" tension: after bottoming near</w:t>
      </w:r>
      <w:r>
        <w:t xml:space="preserve"> </w:t>
      </w:r>
      <m:oMath>
        <m:r>
          <m:t>97</m:t>
        </m:r>
        <m:r>
          <m:t>i</m:t>
        </m:r>
        <m:r>
          <m:t>n</m:t>
        </m:r>
        <m:r>
          <m:t>l</m:t>
        </m:r>
        <m:r>
          <m:t>a</m:t>
        </m:r>
        <m:r>
          <m:t>t</m:t>
        </m:r>
        <m:r>
          <m:t>e</m:t>
        </m:r>
        <m:r>
          <m:t>M</m:t>
        </m:r>
        <m:r>
          <m:t>a</m:t>
        </m:r>
        <m:r>
          <m:t>r</m:t>
        </m:r>
        <m:r>
          <m:t>c</m:t>
        </m:r>
        <m:r>
          <m:t>h</m:t>
        </m:r>
        <m:r>
          <m:rPr>
            <m:sty m:val="p"/>
          </m:rPr>
          <m:t>,</m:t>
        </m:r>
        <m:r>
          <m:t>C</m:t>
        </m:r>
        <m:r>
          <m:t>P</m:t>
        </m:r>
        <m:r>
          <m:t>T</m:t>
        </m:r>
        <m:r>
          <m:t>h</m:t>
        </m:r>
        <m:r>
          <m:t>a</m:t>
        </m:r>
        <m:r>
          <m:t>s</m:t>
        </m:r>
        <m:r>
          <m:t>r</m:t>
        </m:r>
        <m:r>
          <m:t>a</m:t>
        </m:r>
        <m:r>
          <m:t>l</m:t>
        </m:r>
        <m:r>
          <m:t>l</m:t>
        </m:r>
        <m:r>
          <m:t>i</m:t>
        </m:r>
        <m:r>
          <m:t>e</m:t>
        </m:r>
        <m:r>
          <m:t>d</m:t>
        </m:r>
        <m:r>
          <m:t> </m:t>
        </m:r>
        <m:r>
          <m:t>20</m:t>
        </m:r>
      </m:oMath>
      <w:r>
        <w:rPr>
          <w:b/>
          <w:bCs/>
        </w:rPr>
        <w:t xml:space="preserve">116</w:t>
      </w:r>
      <w:r>
        <w:t xml:space="preserve"> </w:t>
      </w:r>
      <w:r>
        <w:t xml:space="preserve">as of July 29, leaving it up roughly 6% YTD — roughly in line with AVB (+6%) but trailing coastal-heavy EQR (+11%) while beating pure Sunbelt peer MAA (-1%). In short, the market has already priced in a good chunk of the "supply is peaking, recovery is coming" thesis. This quarter is about proof points.</w:t>
      </w:r>
    </w:p>
    <w:p>
      <w:pPr>
        <w:pStyle w:val="BodyText"/>
      </w:pPr>
      <w:r>
        <w:rPr>
          <w:b/>
          <w:bCs/>
        </w:rPr>
        <w:t xml:space="preserve">The three things that matter most going into the print:</w:t>
      </w:r>
    </w:p>
    <w:p>
      <w:pPr>
        <w:pStyle w:val="Compact"/>
        <w:numPr>
          <w:ilvl w:val="0"/>
          <w:numId w:val="1001"/>
        </w:numPr>
      </w:pPr>
      <w:r>
        <w:rPr>
          <w:b/>
          <w:bCs/>
        </w:rPr>
        <w:t xml:space="preserve">Did the ~$1B+ California portfolio sale close, and at what price?</w:t>
      </w:r>
      <w:r>
        <w:t xml:space="preserve"> </w:t>
      </w:r>
      <w:r>
        <w:t xml:space="preserve">(Timing was guided to late June/early July.)</w:t>
      </w:r>
    </w:p>
    <w:p>
      <w:pPr>
        <w:pStyle w:val="Compact"/>
        <w:numPr>
          <w:ilvl w:val="0"/>
          <w:numId w:val="1001"/>
        </w:numPr>
      </w:pPr>
      <w:r>
        <w:rPr>
          <w:b/>
          <w:bCs/>
        </w:rPr>
        <w:t xml:space="preserve">Is the peak-leasing-season blended-rate ramp materializing?</w:t>
      </w:r>
      <w:r>
        <w:t xml:space="preserve"> </w:t>
      </w:r>
      <w:r>
        <w:t xml:space="preserve">Management staked the full-year on a big 3Q/4Q acceleration.</w:t>
      </w:r>
    </w:p>
    <w:p>
      <w:pPr>
        <w:pStyle w:val="Compact"/>
        <w:numPr>
          <w:ilvl w:val="0"/>
          <w:numId w:val="1001"/>
        </w:numPr>
      </w:pPr>
      <w:r>
        <w:rPr>
          <w:b/>
          <w:bCs/>
        </w:rPr>
        <w:t xml:space="preserve">What's the updated capital-allocation math</w:t>
      </w:r>
      <w:r>
        <w:t xml:space="preserve"> </w:t>
      </w:r>
      <w:r>
        <w:t xml:space="preserve">— more buybacks, and progress redeploying 1031 proceeds into Sunbelt acquisitions?</w:t>
      </w:r>
    </w:p>
    <w:p>
      <w:r>
        <w:pict>
          <v:rect style="width:0;height:1.5pt" o:hralign="center" o:hrstd="t" o:hr="t"/>
        </w:pict>
      </w:r>
    </w:p>
    <w:bookmarkEnd w:id="10"/>
    <w:bookmarkStart w:id="11" w:name="what-to-expect-on-the-numbers"/>
    <w:p>
      <w:pPr>
        <w:pStyle w:val="Heading2"/>
      </w:pPr>
      <w:r>
        <w:t xml:space="preserve">What to Expect on the Numbers</w:t>
      </w:r>
    </w:p>
    <w:p>
      <w:pPr>
        <w:pStyle w:val="Compact"/>
        <w:numPr>
          <w:ilvl w:val="0"/>
          <w:numId w:val="1002"/>
        </w:numPr>
      </w:pPr>
      <w:r>
        <w:rPr>
          <w:b/>
          <w:bCs/>
        </w:rPr>
        <w:t xml:space="preserve">Q2 Core FFO guidance:</w:t>
      </w:r>
      <w:r>
        <w:rPr>
          <w:b/>
          <w:bCs/>
        </w:rPr>
        <w:t xml:space="preserve"> </w:t>
      </w:r>
      <m:oMath>
        <m:r>
          <m:t>1.65</m:t>
        </m:r>
        <m:r>
          <m:rPr>
            <m:sty m:val="p"/>
          </m:rPr>
          <m:t>–</m:t>
        </m:r>
      </m:oMath>
      <w:r>
        <w:rPr>
          <w:b/>
          <w:bCs/>
        </w:rPr>
        <w:t xml:space="preserve">1.69</w:t>
      </w:r>
      <w:r>
        <w:t xml:space="preserve"> </w:t>
      </w:r>
      <w:r>
        <w:t xml:space="preserve">(midpoint</w:t>
      </w:r>
      <w:r>
        <w:t xml:space="preserve"> </w:t>
      </w:r>
      <m:oMath>
        <m:r>
          <m:t>1.67</m:t>
        </m:r>
        <m:r>
          <m:rPr>
            <m:sty m:val="p"/>
          </m:rPr>
          <m:t>)</m:t>
        </m:r>
        <m:r>
          <m:rPr>
            <m:sty m:val="p"/>
          </m:rPr>
          <m:t>,</m:t>
        </m:r>
        <m:r>
          <m:t>i</m:t>
        </m:r>
        <m:r>
          <m:t>m</m:t>
        </m:r>
        <m:r>
          <m:t>p</m:t>
        </m:r>
        <m:r>
          <m:t>l</m:t>
        </m:r>
        <m:r>
          <m:t>y</m:t>
        </m:r>
        <m:r>
          <m:t>i</m:t>
        </m:r>
        <m:r>
          <m:t>n</m:t>
        </m:r>
        <m:r>
          <m:t>g</m:t>
        </m:r>
        <m:r>
          <m:t>a</m:t>
        </m:r>
        <m:r>
          <m:t> </m:t>
        </m:r>
      </m:oMath>
      <w:r>
        <w:t xml:space="preserve">0.03 sequential decline from Q1's</w:t>
      </w:r>
      <w:r>
        <w:t xml:space="preserve"> </w:t>
      </w:r>
      <m:oMath>
        <m:r>
          <m:t>1.70</m:t>
        </m:r>
        <m:r>
          <m:rPr>
            <m:sty m:val="p"/>
          </m:rPr>
          <m:t>.</m:t>
        </m:r>
        <m:r>
          <m:t>M</m:t>
        </m:r>
        <m:r>
          <m:t>a</m:t>
        </m:r>
        <m:r>
          <m:t>n</m:t>
        </m:r>
        <m:r>
          <m:t>a</m:t>
        </m:r>
        <m:r>
          <m:t>g</m:t>
        </m:r>
        <m:r>
          <m:t>e</m:t>
        </m:r>
        <m:r>
          <m:t>m</m:t>
        </m:r>
        <m:r>
          <m:t>e</m:t>
        </m:r>
        <m:r>
          <m:t>n</m:t>
        </m:r>
        <m:r>
          <m:t>t</m:t>
        </m:r>
        <m:r>
          <m:t>p</m:t>
        </m:r>
        <m:r>
          <m:t>r</m:t>
        </m:r>
        <m:r>
          <m:t>e</m:t>
        </m:r>
        <m:r>
          <m:rPr>
            <m:sty m:val="p"/>
          </m:rPr>
          <m:t>−</m:t>
        </m:r>
        <m:r>
          <m:t>f</m:t>
        </m:r>
        <m:r>
          <m:t>l</m:t>
        </m:r>
        <m:r>
          <m:t>a</m:t>
        </m:r>
        <m:r>
          <m:t>g</m:t>
        </m:r>
        <m:r>
          <m:t>g</m:t>
        </m:r>
        <m:r>
          <m:t>e</m:t>
        </m:r>
        <m:r>
          <m:t>d</m:t>
        </m:r>
        <m:r>
          <m:t>t</m:t>
        </m:r>
        <m:r>
          <m:t>h</m:t>
        </m:r>
        <m:r>
          <m:t>e</m:t>
        </m:r>
        <m:r>
          <m:t>d</m:t>
        </m:r>
        <m:r>
          <m:t>r</m:t>
        </m:r>
        <m:r>
          <m:t>i</m:t>
        </m:r>
        <m:r>
          <m:t>v</m:t>
        </m:r>
        <m:r>
          <m:t>e</m:t>
        </m:r>
        <m:r>
          <m:t>r</m:t>
        </m:r>
        <m:r>
          <m:t>s</m:t>
        </m:r>
        <m:r>
          <m:rPr>
            <m:sty m:val="p"/>
          </m:rPr>
          <m:t>:</m:t>
        </m:r>
        <m:r>
          <m:t>a</m:t>
        </m:r>
        <m:r>
          <m:t> </m:t>
        </m:r>
      </m:oMath>
      <w:r>
        <w:t xml:space="preserve">0.04 sequential same-store NOI drag from seasonal repair/maintenance timing and annual merit increases, partly offset by ~$0.01 from acquisitions. A "clean" in-line print lands right in this band; the debate will be about the back half, not the quarter itself.</w:t>
      </w:r>
    </w:p>
    <w:p>
      <w:pPr>
        <w:pStyle w:val="Compact"/>
        <w:numPr>
          <w:ilvl w:val="0"/>
          <w:numId w:val="1002"/>
        </w:numPr>
      </w:pPr>
      <w:r>
        <w:rPr>
          <w:b/>
          <w:bCs/>
        </w:rPr>
        <w:t xml:space="preserve">Full-year Core FFO: $6.75 midpoint</w:t>
      </w:r>
      <w:r>
        <w:t xml:space="preserve"> </w:t>
      </w:r>
      <w:r>
        <w:t xml:space="preserve">(range</w:t>
      </w:r>
      <w:r>
        <w:t xml:space="preserve"> </w:t>
      </w:r>
      <m:oMath>
        <m:r>
          <m:t>6.60</m:t>
        </m:r>
        <m:r>
          <m:rPr>
            <m:sty m:val="p"/>
          </m:rPr>
          <m:t>–</m:t>
        </m:r>
      </m:oMath>
      <w:r>
        <w:t xml:space="preserve">6.90), reaffirmed at Q1. Watch whether Q1's bad-debt outperformance (see below) and any California-sale timing shifts prompt a nudge to the midpoint or a range-narrowing.</w:t>
      </w:r>
    </w:p>
    <w:p>
      <w:pPr>
        <w:pStyle w:val="Compact"/>
        <w:numPr>
          <w:ilvl w:val="0"/>
          <w:numId w:val="1002"/>
        </w:numPr>
      </w:pPr>
      <w:r>
        <w:rPr>
          <w:b/>
          <w:bCs/>
        </w:rPr>
        <w:t xml:space="preserve">Same-store guidance (2026):</w:t>
      </w:r>
      <w:r>
        <w:t xml:space="preserve"> </w:t>
      </w:r>
      <w:r>
        <w:t xml:space="preserve">revenue</w:t>
      </w:r>
      <w:r>
        <w:t xml:space="preserve"> </w:t>
      </w:r>
      <w:r>
        <w:rPr>
          <w:b/>
          <w:bCs/>
        </w:rPr>
        <w:t xml:space="preserve">+0.75%</w:t>
      </w:r>
      <w:r>
        <w:t xml:space="preserve">, expenses</w:t>
      </w:r>
      <w:r>
        <w:t xml:space="preserve"> </w:t>
      </w:r>
      <w:r>
        <w:rPr>
          <w:b/>
          <w:bCs/>
        </w:rPr>
        <w:t xml:space="preserve">+3.0%</w:t>
      </w:r>
      <w:r>
        <w:t xml:space="preserve">, NOI</w:t>
      </w:r>
      <w:r>
        <w:t xml:space="preserve"> </w:t>
      </w:r>
      <w:r>
        <w:rPr>
          <w:b/>
          <w:bCs/>
        </w:rPr>
        <w:t xml:space="preserve">-0.5%</w:t>
      </w:r>
      <w:r>
        <w:t xml:space="preserve"> </w:t>
      </w:r>
      <w:r>
        <w:t xml:space="preserve">at the midpoints — all reaffirmed last quarter. Any tightening of the wide same-store NOI range (-2.5% to +1.5%) would be informative.</w:t>
      </w:r>
    </w:p>
    <w:p>
      <w:pPr>
        <w:pStyle w:val="Compact"/>
        <w:numPr>
          <w:ilvl w:val="0"/>
          <w:numId w:val="1002"/>
        </w:numPr>
      </w:pPr>
      <w:r>
        <w:rPr>
          <w:b/>
          <w:bCs/>
        </w:rPr>
        <w:t xml:space="preserve">GAAP EPS/FFO will be noisy</w:t>
      </w:r>
      <w:r>
        <w:t xml:space="preserve"> </w:t>
      </w:r>
      <w:r>
        <w:t xml:space="preserve">— 2026 FFO guidance carries ~$0.65/share of non-core charges (the $53M RealPage-related class-action settlement, climate-tech fund losses, pursuit costs) plus gains on dispositions. Focus on</w:t>
      </w:r>
      <w:r>
        <w:t xml:space="preserve"> </w:t>
      </w:r>
      <w:r>
        <w:rPr>
          <w:b/>
          <w:bCs/>
        </w:rPr>
        <w:t xml:space="preserve">Core FFO</w:t>
      </w:r>
      <w:r>
        <w:t xml:space="preserve">.</w:t>
      </w:r>
    </w:p>
    <w:p>
      <w:r>
        <w:pict>
          <v:rect style="width:0;height:1.5pt" o:hralign="center" o:hrstd="t" o:hr="t"/>
        </w:pict>
      </w:r>
    </w:p>
    <w:bookmarkEnd w:id="11"/>
    <w:bookmarkStart w:id="12" w:name="Xf588fd95852fb0118d52f1c28630d731af4450a"/>
    <w:p>
      <w:pPr>
        <w:pStyle w:val="Heading2"/>
      </w:pPr>
      <w:r>
        <w:t xml:space="preserve">Q1 Recap — Why It Was a "Quality of Beat" Question</w:t>
      </w:r>
    </w:p>
    <w:p>
      <w:pPr>
        <w:pStyle w:val="FirstParagraph"/>
      </w:pPr>
      <w:r>
        <w:t xml:space="preserve">Q1 Core FFO of **$1.70 beat the guidance midpoint by</w:t>
      </w:r>
      <w:r>
        <w:t xml:space="preserve"> </w:t>
      </w:r>
      <m:oMath>
        <m:r>
          <m:t>0.04</m:t>
        </m:r>
        <m:r>
          <m:rPr>
            <m:sty m:val="p"/>
          </m:rPr>
          <m:t>*</m:t>
        </m:r>
        <m:r>
          <m:rPr>
            <m:sty m:val="p"/>
          </m:rPr>
          <m:t>*</m:t>
        </m:r>
        <m:r>
          <m:rPr>
            <m:sty m:val="p"/>
          </m:rPr>
          <m:t>,</m:t>
        </m:r>
        <m:r>
          <m:t>b</m:t>
        </m:r>
        <m:r>
          <m:t>u</m:t>
        </m:r>
        <m:r>
          <m:t>t</m:t>
        </m:r>
        <m:r>
          <m:t>m</m:t>
        </m:r>
        <m:r>
          <m:t>a</m:t>
        </m:r>
        <m:r>
          <m:t>n</m:t>
        </m:r>
        <m:r>
          <m:t>a</m:t>
        </m:r>
        <m:r>
          <m:t>g</m:t>
        </m:r>
        <m:r>
          <m:t>e</m:t>
        </m:r>
        <m:r>
          <m:t>m</m:t>
        </m:r>
        <m:r>
          <m:t>e</m:t>
        </m:r>
        <m:r>
          <m:t>n</m:t>
        </m:r>
        <m:r>
          <m:t>t</m:t>
        </m:r>
        <m:r>
          <m:t>w</m:t>
        </m:r>
        <m:r>
          <m:t>a</m:t>
        </m:r>
        <m:r>
          <m:t>s</m:t>
        </m:r>
        <m:r>
          <m:t>c</m:t>
        </m:r>
        <m:r>
          <m:t>a</m:t>
        </m:r>
        <m:r>
          <m:t>r</m:t>
        </m:r>
        <m:r>
          <m:t>e</m:t>
        </m:r>
        <m:r>
          <m:t>f</m:t>
        </m:r>
        <m:r>
          <m:t>u</m:t>
        </m:r>
        <m:r>
          <m:t>l</m:t>
        </m:r>
        <m:r>
          <m:t>t</m:t>
        </m:r>
        <m:r>
          <m:t>o</m:t>
        </m:r>
        <m:r>
          <m:t>f</m:t>
        </m:r>
        <m:r>
          <m:t>r</m:t>
        </m:r>
        <m:r>
          <m:t>a</m:t>
        </m:r>
        <m:r>
          <m:t>m</m:t>
        </m:r>
        <m:r>
          <m:t>e</m:t>
        </m:r>
        <m:r>
          <m:t>m</m:t>
        </m:r>
        <m:r>
          <m:t>u</m:t>
        </m:r>
        <m:r>
          <m:t>c</m:t>
        </m:r>
        <m:r>
          <m:t>h</m:t>
        </m:r>
        <m:r>
          <m:t>o</m:t>
        </m:r>
        <m:r>
          <m:t>f</m:t>
        </m:r>
        <m:r>
          <m:t>i</m:t>
        </m:r>
        <m:r>
          <m:t>t</m:t>
        </m:r>
        <m:r>
          <m:t>a</m:t>
        </m:r>
        <m:r>
          <m:t>s</m:t>
        </m:r>
        <m:r>
          <m:t>t</m:t>
        </m:r>
        <m:r>
          <m:t>i</m:t>
        </m:r>
        <m:r>
          <m:t>m</m:t>
        </m:r>
        <m:r>
          <m:t>i</m:t>
        </m:r>
        <m:r>
          <m:t>n</m:t>
        </m:r>
        <m:r>
          <m:t>g</m:t>
        </m:r>
        <m:r>
          <m:rPr>
            <m:sty m:val="p"/>
          </m:rPr>
          <m:t>:</m:t>
        </m:r>
        <m:r>
          <m:t> </m:t>
        </m:r>
      </m:oMath>
      <w:r>
        <w:t xml:space="preserve">0.01 from lower bad debt/higher delinquent collections, ~</w:t>
      </w:r>
      <w:r>
        <w:t xml:space="preserve">$0.02 from timing-related expense savings ("not indicative of a change to full-year outlook"), and ~$</w:t>
      </w:r>
      <w:r>
        <w:t xml:space="preserve">0.01 from pulled-forward construction fee income. That's why they reaffirmed rather than raised the full year.</w:t>
      </w:r>
    </w:p>
    <w:p>
      <w:pPr>
        <w:pStyle w:val="BodyText"/>
      </w:pPr>
      <w:r>
        <w:t xml:space="preserve">The genuinely encouraging item:</w:t>
      </w:r>
      <w:r>
        <w:t xml:space="preserve"> </w:t>
      </w:r>
      <w:r>
        <w:rPr>
          <w:b/>
          <w:bCs/>
        </w:rPr>
        <w:t xml:space="preserve">bad debt hit its lowest level since the onset of COVID (&lt;40 bps)</w:t>
      </w:r>
      <w:r>
        <w:t xml:space="preserve">, helped by ~10% larger tax refunds for middle/higher-income renters and tighter credit screening. The key question this quarter is whether that sticks — management said it was "premature to extrapolate one quarter." A second clean quarter would build the case for a full-year revenue guidance raise.</w:t>
      </w:r>
    </w:p>
    <w:p>
      <w:pPr>
        <w:pStyle w:val="BodyText"/>
      </w:pPr>
      <w:r>
        <w:rPr>
          <w:b/>
          <w:bCs/>
        </w:rPr>
        <w:t xml:space="preserve">Leasing spreads (Q1, same-store, effective):</w:t>
      </w:r>
      <w:r>
        <w:t xml:space="preserve"> </w:t>
      </w:r>
      <w:r>
        <w:t xml:space="preserve">new leases</w:t>
      </w:r>
      <w:r>
        <w:t xml:space="preserve"> </w:t>
      </w:r>
      <w:r>
        <w:rPr>
          <w:b/>
          <w:bCs/>
        </w:rPr>
        <w:t xml:space="preserve">-5.2%</w:t>
      </w:r>
      <w:r>
        <w:t xml:space="preserve">, renewals</w:t>
      </w:r>
      <w:r>
        <w:t xml:space="preserve"> </w:t>
      </w:r>
      <w:r>
        <w:rPr>
          <w:b/>
          <w:bCs/>
        </w:rPr>
        <w:t xml:space="preserve">+2.9%</w:t>
      </w:r>
      <w:r>
        <w:t xml:space="preserve">, blended</w:t>
      </w:r>
      <w:r>
        <w:t xml:space="preserve"> </w:t>
      </w:r>
      <w:r>
        <w:rPr>
          <w:b/>
          <w:bCs/>
        </w:rPr>
        <w:t xml:space="preserve">-1.4%</w:t>
      </w:r>
      <w:r>
        <w:t xml:space="preserve">, with occupancy at 95.1%. Not pretty, but management said April was tracking ahead:</w:t>
      </w:r>
      <w:r>
        <w:t xml:space="preserve"> </w:t>
      </w:r>
      <w:r>
        <w:rPr>
          <w:b/>
          <w:bCs/>
        </w:rPr>
        <w:t xml:space="preserve">occupancy up to ~95.4% and blends ~100 bps better than Q1.</w:t>
      </w:r>
      <w:r>
        <w:t xml:space="preserve"> </w:t>
      </w:r>
      <w:r>
        <w:t xml:space="preserve">The full-year math requires that improvement to compound into a "hockey stick" 3Q/4Q. Expect heavy analyst focus on July/August blended-rate data points and whether the green-shoot markets (Atlanta, Dallas, Orlando, Nashville, Raleigh, Southeast Florida) are holding up.</w:t>
      </w:r>
    </w:p>
    <w:p>
      <w:r>
        <w:pict>
          <v:rect style="width:0;height:1.5pt" o:hralign="center" o:hrstd="t" o:hr="t"/>
        </w:pict>
      </w:r>
    </w:p>
    <w:bookmarkEnd w:id="12"/>
    <w:bookmarkStart w:id="13" w:name="X44cc5aee1d45020578b52c9f262a07639a491dc"/>
    <w:p>
      <w:pPr>
        <w:pStyle w:val="Heading2"/>
      </w:pPr>
      <w:r>
        <w:t xml:space="preserve">The California Sale — The Single Biggest Swing Factor</w:t>
      </w:r>
    </w:p>
    <w:p>
      <w:pPr>
        <w:pStyle w:val="FirstParagraph"/>
      </w:pPr>
      <w:r>
        <w:t xml:space="preserve">This is the story of the quarter. At Q1, management said it was in exclusive diligence with</w:t>
      </w:r>
      <w:r>
        <w:t xml:space="preserve"> </w:t>
      </w:r>
      <w:r>
        <w:rPr>
          <w:b/>
          <w:bCs/>
        </w:rPr>
        <w:t xml:space="preserve">one buyer for the entire 11-community California portfolio</w:t>
      </w:r>
      <w:r>
        <w:t xml:space="preserve">, targeting a</w:t>
      </w:r>
      <w:r>
        <w:t xml:space="preserve"> </w:t>
      </w:r>
      <w:r>
        <w:rPr>
          <w:b/>
          <w:bCs/>
        </w:rPr>
        <w:t xml:space="preserve">late-June/early-July close</w:t>
      </w:r>
      <w:r>
        <w:t xml:space="preserve"> </w:t>
      </w:r>
      <w:r>
        <w:t xml:space="preserve">at a price "in line with expectations." Given the reporting date, we should get resolution:</w:t>
      </w:r>
    </w:p>
    <w:p>
      <w:pPr>
        <w:pStyle w:val="Compact"/>
        <w:numPr>
          <w:ilvl w:val="0"/>
          <w:numId w:val="1003"/>
        </w:numPr>
      </w:pPr>
      <w:r>
        <w:rPr>
          <w:b/>
          <w:bCs/>
        </w:rPr>
        <w:t xml:space="preserve">Did it close?</w:t>
      </w:r>
      <w:r>
        <w:t xml:space="preserve"> </w:t>
      </w:r>
      <w:r>
        <w:t xml:space="preserve">If yes, expect confirmation of price and cap rate. If it slipped or the buyer fell out, management flagged backup buyers exist but at "a later closing date" — a modest negative for 2026 earnings timing.</w:t>
      </w:r>
    </w:p>
    <w:p>
      <w:pPr>
        <w:pStyle w:val="Compact"/>
        <w:numPr>
          <w:ilvl w:val="0"/>
          <w:numId w:val="1003"/>
        </w:numPr>
      </w:pPr>
      <w:r>
        <w:rPr>
          <w:b/>
          <w:bCs/>
        </w:rPr>
        <w:t xml:space="preserve">Redeployment plan:</w:t>
      </w:r>
      <w:r>
        <w:t xml:space="preserve"> </w:t>
      </w:r>
      <w:r>
        <w:t xml:space="preserve">~60% of proceeds targeted for</w:t>
      </w:r>
      <w:r>
        <w:t xml:space="preserve"> </w:t>
      </w:r>
      <w:r>
        <w:rPr>
          <w:b/>
          <w:bCs/>
        </w:rPr>
        <w:t xml:space="preserve">1031 exchanges into Sunbelt markets</w:t>
      </w:r>
      <w:r>
        <w:t xml:space="preserve">; the remainder (~</w:t>
      </w:r>
      <m:oMath>
        <m:r>
          <m:t>650</m:t>
        </m:r>
        <m:r>
          <m:t>M</m:t>
        </m:r>
        <m:r>
          <m:rPr>
            <m:sty m:val="p"/>
          </m:rPr>
          <m:t>)</m:t>
        </m:r>
        <m:r>
          <m:t>a</m:t>
        </m:r>
        <m:r>
          <m:t>l</m:t>
        </m:r>
        <m:r>
          <m:t>r</m:t>
        </m:r>
        <m:r>
          <m:t>e</m:t>
        </m:r>
        <m:r>
          <m:t>a</m:t>
        </m:r>
        <m:r>
          <m:t>d</m:t>
        </m:r>
        <m:r>
          <m:t>y</m:t>
        </m:r>
        <m:r>
          <m:t>e</m:t>
        </m:r>
        <m:r>
          <m:t>f</m:t>
        </m:r>
        <m:r>
          <m:t>f</m:t>
        </m:r>
        <m:r>
          <m:t>e</m:t>
        </m:r>
        <m:r>
          <m:t>c</m:t>
        </m:r>
        <m:r>
          <m:t>t</m:t>
        </m:r>
        <m:r>
          <m:t>i</m:t>
        </m:r>
        <m:r>
          <m:t>v</m:t>
        </m:r>
        <m:r>
          <m:t>e</m:t>
        </m:r>
        <m:r>
          <m:t>l</m:t>
        </m:r>
        <m:r>
          <m:t>y</m:t>
        </m:r>
        <m:r>
          <m:t>f</m:t>
        </m:r>
        <m:r>
          <m:t>u</m:t>
        </m:r>
        <m:r>
          <m:t>n</m:t>
        </m:r>
        <m:r>
          <m:t>d</m:t>
        </m:r>
        <m:r>
          <m:t>e</m:t>
        </m:r>
        <m:r>
          <m:t>d</m:t>
        </m:r>
        <m:r>
          <m:t>2025</m:t>
        </m:r>
        <m:r>
          <m:rPr>
            <m:sty m:val="p"/>
          </m:rPr>
          <m:t>–</m:t>
        </m:r>
        <m:r>
          <m:t>26</m:t>
        </m:r>
        <m:r>
          <m:t>b</m:t>
        </m:r>
        <m:r>
          <m:t>u</m:t>
        </m:r>
        <m:r>
          <m:t>y</m:t>
        </m:r>
        <m:r>
          <m:t>b</m:t>
        </m:r>
        <m:r>
          <m:t>a</m:t>
        </m:r>
        <m:r>
          <m:t>c</m:t>
        </m:r>
        <m:r>
          <m:t>k</m:t>
        </m:r>
        <m:r>
          <m:t>s</m:t>
        </m:r>
        <m:r>
          <m:rPr>
            <m:sty m:val="p"/>
          </m:rPr>
          <m:t>.</m:t>
        </m:r>
        <m:r>
          <m:t>M</m:t>
        </m:r>
        <m:r>
          <m:t>a</m:t>
        </m:r>
        <m:r>
          <m:t>n</m:t>
        </m:r>
        <m:r>
          <m:t>a</m:t>
        </m:r>
        <m:r>
          <m:t>g</m:t>
        </m:r>
        <m:r>
          <m:t>e</m:t>
        </m:r>
        <m:r>
          <m:t>m</m:t>
        </m:r>
        <m:r>
          <m:t>e</m:t>
        </m:r>
        <m:r>
          <m:t>n</m:t>
        </m:r>
        <m:r>
          <m:t>t</m:t>
        </m:r>
        <m:r>
          <m:t>g</m:t>
        </m:r>
        <m:r>
          <m:t>u</m:t>
        </m:r>
        <m:r>
          <m:t>i</m:t>
        </m:r>
        <m:r>
          <m:t>d</m:t>
        </m:r>
        <m:r>
          <m:t>e</m:t>
        </m:r>
        <m:r>
          <m:t>d</m:t>
        </m:r>
        <m:r>
          <m:t>t</m:t>
        </m:r>
        <m:r>
          <m:t>o</m:t>
        </m:r>
        <m:r>
          <m:rPr>
            <m:sty m:val="p"/>
          </m:rPr>
          <m:t>*</m:t>
        </m:r>
        <m:r>
          <m:rPr>
            <m:sty m:val="p"/>
          </m:rPr>
          <m:t>*</m:t>
        </m:r>
        <m:r>
          <m:t> </m:t>
        </m:r>
      </m:oMath>
      <w:r>
        <w:t xml:space="preserve">1B of acquisitions** (needed to maximize proceeds and minimize special distributions). By Q1 they'd already closed Camden Alpharetta (Atlanta) + Camden at Lake Nona (Orlando) for ~</w:t>
      </w:r>
      <w:r>
        <w:t xml:space="preserve">$171M and been "awarded" another ~$</w:t>
      </w:r>
      <w:r>
        <w:t xml:space="preserve">250M — roughly halfway there.</w:t>
      </w:r>
      <w:r>
        <w:t xml:space="preserve"> </w:t>
      </w:r>
      <w:r>
        <w:rPr>
          <w:b/>
          <w:bCs/>
        </w:rPr>
        <w:t xml:space="preserve">Watch the pace and cap rates</w:t>
      </w:r>
      <w:r>
        <w:t xml:space="preserve"> </w:t>
      </w:r>
      <w:r>
        <w:t xml:space="preserve">(they cited 4.5%–5% for newer, well-located Sunbelt product).</w:t>
      </w:r>
    </w:p>
    <w:p>
      <w:pPr>
        <w:pStyle w:val="Compact"/>
        <w:numPr>
          <w:ilvl w:val="0"/>
          <w:numId w:val="1003"/>
        </w:numPr>
      </w:pPr>
      <w:r>
        <w:rPr>
          <w:b/>
          <w:bCs/>
        </w:rPr>
        <w:t xml:space="preserve">The earnings wrinkle:</w:t>
      </w:r>
      <w:r>
        <w:t xml:space="preserve"> </w:t>
      </w:r>
      <w:r>
        <w:t xml:space="preserve">management repeatedly warned that</w:t>
      </w:r>
      <w:r>
        <w:t xml:space="preserve"> </w:t>
      </w:r>
      <w:r>
        <w:rPr>
          <w:b/>
          <w:bCs/>
        </w:rPr>
        <w:t xml:space="preserve">1031 timing adds "considerable variability" to 2026 earnings</w:t>
      </w:r>
      <w:r>
        <w:t xml:space="preserve">, since they don't receive proceeds until exchanges complete. Any FFO guidance move may be as much about transaction timing as underlying fundamentals — parse carefully.</w:t>
      </w:r>
    </w:p>
    <w:p>
      <w:r>
        <w:pict>
          <v:rect style="width:0;height:1.5pt" o:hralign="center" o:hrstd="t" o:hr="t"/>
        </w:pict>
      </w:r>
    </w:p>
    <w:bookmarkEnd w:id="13"/>
    <w:bookmarkStart w:id="14" w:name="capital-allocation--balance-sheet"/>
    <w:p>
      <w:pPr>
        <w:pStyle w:val="Heading2"/>
      </w:pPr>
      <w:r>
        <w:t xml:space="preserve">Capital Allocation &amp; Balance Sheet</w:t>
      </w:r>
    </w:p>
    <w:p>
      <w:pPr>
        <w:pStyle w:val="Compact"/>
        <w:numPr>
          <w:ilvl w:val="0"/>
          <w:numId w:val="1004"/>
        </w:numPr>
      </w:pPr>
      <w:r>
        <w:rPr>
          <w:b/>
          <w:bCs/>
        </w:rPr>
        <w:t xml:space="preserve">Buybacks have been the priority use of capital.</w:t>
      </w:r>
      <w:r>
        <w:t xml:space="preserve"> </w:t>
      </w:r>
      <w:r>
        <w:t xml:space="preserve">CPT repurchased</w:t>
      </w:r>
      <w:r>
        <w:t xml:space="preserve"> </w:t>
      </w:r>
      <m:oMath>
        <m:r>
          <m:t>693</m:t>
        </m:r>
        <m:r>
          <m:t>M</m:t>
        </m:r>
        <m:r>
          <m:t>a</m:t>
        </m:r>
        <m:r>
          <m:t>c</m:t>
        </m:r>
        <m:r>
          <m:t>r</m:t>
        </m:r>
        <m:r>
          <m:t>o</m:t>
        </m:r>
        <m:r>
          <m:t>s</m:t>
        </m:r>
        <m:r>
          <m:t>s</m:t>
        </m:r>
        <m:r>
          <m:t>2025</m:t>
        </m:r>
        <m:r>
          <m:rPr>
            <m:sty m:val="p"/>
          </m:rPr>
          <m:t>–</m:t>
        </m:r>
        <m:r>
          <m:t>26</m:t>
        </m:r>
        <m:r>
          <m:t>a</m:t>
        </m:r>
        <m:r>
          <m:t>t</m:t>
        </m:r>
        <m:r>
          <m:t>a</m:t>
        </m:r>
        <m:r>
          <m:t>n</m:t>
        </m:r>
        <m:r>
          <m:t>a</m:t>
        </m:r>
        <m:r>
          <m:t>v</m:t>
        </m:r>
        <m:r>
          <m:t>g</m:t>
        </m:r>
        <m:r>
          <m:t> </m:t>
        </m:r>
      </m:oMath>
      <w:r>
        <w:rPr>
          <w:b/>
          <w:bCs/>
        </w:rPr>
        <w:t xml:space="preserve">105/share (a ~6.4% FFO yield)</w:t>
      </w:r>
      <w:r>
        <w:t xml:space="preserve">, funded ahead of the California sale — trading at a discount to NAV. Full-year guidance assumes</w:t>
      </w:r>
      <w:r>
        <w:t xml:space="preserve"> </w:t>
      </w:r>
      <w:r>
        <w:rPr>
          <w:i/>
          <w:iCs/>
        </w:rPr>
        <w:t xml:space="preserve">no further</w:t>
      </w:r>
      <w:r>
        <w:t xml:space="preserve"> </w:t>
      </w:r>
      <w:r>
        <w:t xml:space="preserve">buybacks, but management explicitly said that doesn't preclude more once the California sale closes and delevers the balance sheet. With the stock now ~$116 (above their avg repurchase price), watch whether appetite has cooled.</w:t>
      </w:r>
    </w:p>
    <w:p>
      <w:pPr>
        <w:pStyle w:val="Compact"/>
        <w:numPr>
          <w:ilvl w:val="0"/>
          <w:numId w:val="1004"/>
        </w:numPr>
      </w:pPr>
      <w:r>
        <w:rPr>
          <w:b/>
          <w:bCs/>
        </w:rPr>
        <w:t xml:space="preserve">~$298M remained</w:t>
      </w:r>
      <w:r>
        <w:t xml:space="preserve"> </w:t>
      </w:r>
      <w:r>
        <w:t xml:space="preserve">on the repurchase authorization at Q1.</w:t>
      </w:r>
    </w:p>
    <w:p>
      <w:pPr>
        <w:pStyle w:val="Compact"/>
        <w:numPr>
          <w:ilvl w:val="0"/>
          <w:numId w:val="1004"/>
        </w:numPr>
      </w:pPr>
      <w:r>
        <w:rPr>
          <w:b/>
          <w:bCs/>
        </w:rPr>
        <w:t xml:space="preserve">Balance sheet is a genuine strength:</w:t>
      </w:r>
      <w:r>
        <w:t xml:space="preserve"> </w:t>
      </w:r>
      <w:r>
        <w:t xml:space="preserve">Net Debt/EBITDA ~4.7x, ~$882M liquidity, a recast $1.2B revolver extended to 2030, and a $600M 10-year bond issued at a 5.03% effective rate. Leverage should improve further post-California.</w:t>
      </w:r>
    </w:p>
    <w:p>
      <w:pPr>
        <w:pStyle w:val="Compact"/>
        <w:numPr>
          <w:ilvl w:val="0"/>
          <w:numId w:val="1004"/>
        </w:numPr>
      </w:pPr>
      <w:r>
        <w:rPr>
          <w:b/>
          <w:bCs/>
        </w:rPr>
        <w:t xml:space="preserve">Development is on the back burner</w:t>
      </w:r>
      <w:r>
        <w:t xml:space="preserve"> </w:t>
      </w:r>
      <w:r>
        <w:t xml:space="preserve">by choice — management now views acquisitions (buying below replacement cost) as a better use of capital than most new development, and left the Denver "Camden Baker" site unstarted because "the math isn't that great."</w:t>
      </w:r>
    </w:p>
    <w:p>
      <w:r>
        <w:pict>
          <v:rect style="width:0;height:1.5pt" o:hralign="center" o:hrstd="t" o:hr="t"/>
        </w:pict>
      </w:r>
    </w:p>
    <w:bookmarkEnd w:id="14"/>
    <w:bookmarkStart w:id="15" w:name="macro--supply-demand-backdrop"/>
    <w:p>
      <w:pPr>
        <w:pStyle w:val="Heading2"/>
      </w:pPr>
      <w:r>
        <w:t xml:space="preserve">Macro / Supply-Demand Backdrop</w:t>
      </w:r>
    </w:p>
    <w:p>
      <w:pPr>
        <w:pStyle w:val="FirstParagraph"/>
      </w:pPr>
      <w:r>
        <w:t xml:space="preserve">The bull case rests almost entirely on</w:t>
      </w:r>
      <w:r>
        <w:t xml:space="preserve"> </w:t>
      </w:r>
      <w:r>
        <w:rPr>
          <w:b/>
          <w:bCs/>
        </w:rPr>
        <w:t xml:space="preserve">supply, not demand</w:t>
      </w:r>
      <w:r>
        <w:t xml:space="preserve">. Management's framing:</w:t>
      </w:r>
    </w:p>
    <w:p>
      <w:pPr>
        <w:pStyle w:val="Compact"/>
        <w:numPr>
          <w:ilvl w:val="0"/>
          <w:numId w:val="1005"/>
        </w:numPr>
      </w:pPr>
      <w:r>
        <w:rPr>
          <w:b/>
          <w:bCs/>
        </w:rPr>
        <w:t xml:space="preserve">Completions in Camden markets: ~200k (2025) → ~140–150k (2026) → ~135k (2027) → ~120k (2028)</w:t>
      </w:r>
      <w:r>
        <w:t xml:space="preserve">, with new supply already down ~50% from peak in most markets. Because 2027 deliveries are largely already-or-not-under-construction, the trajectory is fairly locked in.</w:t>
      </w:r>
    </w:p>
    <w:p>
      <w:pPr>
        <w:pStyle w:val="Compact"/>
        <w:numPr>
          <w:ilvl w:val="0"/>
          <w:numId w:val="1005"/>
        </w:numPr>
      </w:pPr>
      <w:r>
        <w:rPr>
          <w:b/>
          <w:bCs/>
        </w:rPr>
        <w:t xml:space="preserve">Demand drivers remain strong</w:t>
      </w:r>
      <w:r>
        <w:t xml:space="preserve"> </w:t>
      </w:r>
      <w:r>
        <w:t xml:space="preserve">— Sunbelt job growth (Dallas, Houston, Austin leading), record Texas population gains, corporate HQ relocations, and low rent-to-income (~19% portfolio-wide; 16% in Houston).</w:t>
      </w:r>
    </w:p>
    <w:p>
      <w:pPr>
        <w:pStyle w:val="Compact"/>
        <w:numPr>
          <w:ilvl w:val="0"/>
          <w:numId w:val="1005"/>
        </w:numPr>
      </w:pPr>
      <w:r>
        <w:t xml:space="preserve">Management drew an explicit analogy to the</w:t>
      </w:r>
      <w:r>
        <w:t xml:space="preserve"> </w:t>
      </w:r>
      <w:r>
        <w:rPr>
          <w:b/>
          <w:bCs/>
        </w:rPr>
        <w:t xml:space="preserve">post-GFC recovery</w:t>
      </w:r>
      <w:r>
        <w:t xml:space="preserve"> </w:t>
      </w:r>
      <w:r>
        <w:t xml:space="preserve">(NOI +7%/+9%/+6% in 2011–13) as a template for what a supply-cleared Sunbelt could deliver into 2027 — a useful frame for how they'll spin any near-term softness.</w:t>
      </w:r>
    </w:p>
    <w:p>
      <w:pPr>
        <w:pStyle w:val="FirstParagraph"/>
      </w:pPr>
      <w:r>
        <w:rPr>
          <w:b/>
          <w:bCs/>
        </w:rPr>
        <w:t xml:space="preserve">Watch items / risks:</w:t>
      </w:r>
      <w:r>
        <w:t xml:space="preserve"> </w:t>
      </w:r>
      <w:r>
        <w:t xml:space="preserve">Houston is the notable soft spot — occupancy fell YoY, which management attributes to immigration-driven consumer-sentiment weakness rather than fundamentals. Broader consumer caution ("failure to launch" among young adults, low turnover masking weak new-lease pricing power) is a real risk to the 2H ramp. Note also that oil prices spiked in late July on U.S.–Iran escalation — a genuine two-way wildcard for energy-levered Houston. And the RealPage/revenue-management litigation, while settled ($53M), is "not in the rearview mirror yet."</w:t>
      </w:r>
    </w:p>
    <w:p>
      <w:r>
        <w:pict>
          <v:rect style="width:0;height:1.5pt" o:hralign="center" o:hrstd="t" o:hr="t"/>
        </w:pict>
      </w:r>
    </w:p>
    <w:bookmarkEnd w:id="15"/>
    <w:bookmarkStart w:id="16" w:name="peer-read-throughs-reported-ahead-of-cpt"/>
    <w:p>
      <w:pPr>
        <w:pStyle w:val="Heading2"/>
      </w:pPr>
      <w:r>
        <w:t xml:space="preserve">Peer Read-Throughs (reported ahead of CPT)</w:t>
      </w:r>
    </w:p>
    <w:p>
      <w:pPr>
        <w:pStyle w:val="Compact"/>
        <w:numPr>
          <w:ilvl w:val="0"/>
          <w:numId w:val="1006"/>
        </w:numPr>
      </w:pPr>
      <w:r>
        <w:rPr>
          <w:b/>
          <w:bCs/>
        </w:rPr>
        <w:t xml:space="preserve">EQR</w:t>
      </w:r>
      <w:r>
        <w:t xml:space="preserve"> </w:t>
      </w:r>
      <w:r>
        <w:t xml:space="preserve">(July 23): modest FFO beat ($1.02 vs $1.01),</w:t>
      </w:r>
      <w:r>
        <w:t xml:space="preserve"> </w:t>
      </w:r>
      <w:r>
        <w:rPr>
          <w:b/>
          <w:bCs/>
        </w:rPr>
        <w:t xml:space="preserve">raised full-year guide</w:t>
      </w:r>
      <w:r>
        <w:t xml:space="preserve"> </w:t>
      </w:r>
      <w:r>
        <w:t xml:space="preserve">on strong occupancy, better renewals, San Francisco strength, and improving bad debt.</w:t>
      </w:r>
    </w:p>
    <w:p>
      <w:pPr>
        <w:pStyle w:val="Compact"/>
        <w:numPr>
          <w:ilvl w:val="0"/>
          <w:numId w:val="1006"/>
        </w:numPr>
      </w:pPr>
      <w:r>
        <w:rPr>
          <w:b/>
          <w:bCs/>
        </w:rPr>
        <w:t xml:space="preserve">AVB</w:t>
      </w:r>
      <w:r>
        <w:t xml:space="preserve"> </w:t>
      </w:r>
      <w:r>
        <w:t xml:space="preserve">(July 23): flagged as an upside performer for the quarter.</w:t>
      </w:r>
    </w:p>
    <w:p>
      <w:pPr>
        <w:pStyle w:val="Compact"/>
        <w:numPr>
          <w:ilvl w:val="0"/>
          <w:numId w:val="1006"/>
        </w:numPr>
      </w:pPr>
      <w:r>
        <w:rPr>
          <w:b/>
          <w:bCs/>
        </w:rPr>
        <w:t xml:space="preserve">UDR</w:t>
      </w:r>
      <w:r>
        <w:t xml:space="preserve"> </w:t>
      </w:r>
      <w:r>
        <w:t xml:space="preserve">and</w:t>
      </w:r>
      <w:r>
        <w:t xml:space="preserve"> </w:t>
      </w:r>
      <w:r>
        <w:rPr>
          <w:b/>
          <w:bCs/>
        </w:rPr>
        <w:t xml:space="preserve">MAA</w:t>
      </w:r>
      <w:r>
        <w:t xml:space="preserve"> </w:t>
      </w:r>
      <w:r>
        <w:t xml:space="preserve">also in the reporting window — MAA is the cleanest Sunbelt comp and its blended-spread trajectory is the best real-time tell for CPT's markets.</w:t>
      </w:r>
    </w:p>
    <w:p>
      <w:pPr>
        <w:pStyle w:val="FirstParagraph"/>
      </w:pPr>
      <w:r>
        <w:t xml:space="preserve">The read:</w:t>
      </w:r>
      <w:r>
        <w:t xml:space="preserve"> </w:t>
      </w:r>
      <w:r>
        <w:rPr>
          <w:b/>
          <w:bCs/>
        </w:rPr>
        <w:t xml:space="preserve">coastal fundamentals are outrunning the Sunbelt</w:t>
      </w:r>
      <w:r>
        <w:t xml:space="preserve">, where oversupply is still being digested. That raises the bar for CPT to show its own markets are inflecting — and improving bad debt appears to be an industry-wide tailwind, supporting the case that CPT's Q1 bad-debt strength was more than a one-quarter fluke.</w:t>
      </w:r>
    </w:p>
    <w:p>
      <w:r>
        <w:pict>
          <v:rect style="width:0;height:1.5pt" o:hralign="center" o:hrstd="t" o:hr="t"/>
        </w:pict>
      </w:r>
    </w:p>
    <w:bookmarkEnd w:id="16"/>
    <w:bookmarkStart w:id="17" w:name="bottom-line--what-would-move-the-stock"/>
    <w:p>
      <w:pPr>
        <w:pStyle w:val="Heading2"/>
      </w:pPr>
      <w:r>
        <w:t xml:space="preserve">Bottom Line — 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w:t>
            </w:r>
          </w:p>
        </w:tc>
        <w:tc>
          <w:tcPr/>
          <w:p>
            <w:pPr>
              <w:pStyle w:val="Compact"/>
            </w:pPr>
            <w:r>
              <w:t xml:space="preserve">Bearish</w:t>
            </w:r>
          </w:p>
        </w:tc>
      </w:tr>
      <w:tr>
        <w:tc>
          <w:tcPr/>
          <w:p>
            <w:pPr>
              <w:pStyle w:val="Compact"/>
            </w:pPr>
            <w:r>
              <w:t xml:space="preserve">California sale closed at/above expected price; clear 1031 redeployment progress</w:t>
            </w:r>
          </w:p>
        </w:tc>
        <w:tc>
          <w:tcPr/>
          <w:p>
            <w:pPr>
              <w:pStyle w:val="Compact"/>
            </w:pPr>
            <w:r>
              <w:t xml:space="preserve">Sale slipped or repriced lower; 1031 timing pushes earnings right</w:t>
            </w:r>
          </w:p>
        </w:tc>
      </w:tr>
      <w:tr>
        <w:tc>
          <w:tcPr/>
          <w:p>
            <w:pPr>
              <w:pStyle w:val="Compact"/>
            </w:pPr>
            <w:r>
              <w:t xml:space="preserve">Blends/occupancy ramp confirmed for peak season; bad debt stays sub-40 bps</w:t>
            </w:r>
          </w:p>
        </w:tc>
        <w:tc>
          <w:tcPr/>
          <w:p>
            <w:pPr>
              <w:pStyle w:val="Compact"/>
            </w:pPr>
            <w:r>
              <w:t xml:space="preserve">July/August spreads stall (a repeat of 2025's "April head-fake")</w:t>
            </w:r>
          </w:p>
        </w:tc>
      </w:tr>
      <w:tr>
        <w:tc>
          <w:tcPr/>
          <w:p>
            <w:pPr>
              <w:pStyle w:val="Compact"/>
            </w:pPr>
            <w:r>
              <w:t xml:space="preserve">Full-year Core FFO or same-store revenue midpoint raised</w:t>
            </w:r>
          </w:p>
        </w:tc>
        <w:tc>
          <w:tcPr/>
          <w:p>
            <w:pPr>
              <w:pStyle w:val="Compact"/>
            </w:pPr>
            <w:r>
              <w:t xml:space="preserve">Reaffirm-only with a soft 2H tone; Houston deteriorates further</w:t>
            </w:r>
          </w:p>
        </w:tc>
      </w:tr>
      <w:tr>
        <w:tc>
          <w:tcPr/>
          <w:p>
            <w:pPr>
              <w:pStyle w:val="Compact"/>
            </w:pPr>
            <w:r>
              <w:t xml:space="preserve">Signal of renewed buybacks post-close</w:t>
            </w:r>
          </w:p>
        </w:tc>
        <w:tc>
          <w:tcPr/>
          <w:p>
            <w:pPr>
              <w:pStyle w:val="Compact"/>
            </w:pPr>
            <w:r>
              <w:t xml:space="preserve">Silence on incremental capital return</w:t>
            </w:r>
          </w:p>
        </w:tc>
      </w:tr>
    </w:tbl>
    <w:p>
      <w:pPr>
        <w:pStyle w:val="BodyText"/>
      </w:pPr>
      <w:r>
        <w:t xml:space="preserve">With guidance reaffirmed just three months ago and the Q2 number effectively pre-announced (</w:t>
      </w:r>
      <m:oMath>
        <m:r>
          <m:t>1.65</m:t>
        </m:r>
        <m:r>
          <m:rPr>
            <m:sty m:val="p"/>
          </m:rPr>
          <m:t>–</m:t>
        </m:r>
      </m:oMath>
      <w:r>
        <w:t xml:space="preserve">1.69), the print itself is unlikely to surprise much.</w:t>
      </w:r>
      <w:r>
        <w:t xml:space="preserve"> </w:t>
      </w:r>
      <w:r>
        <w:rPr>
          <w:b/>
          <w:bCs/>
        </w:rPr>
        <w:t xml:space="preserve">The stock reaction will hinge on the California sale outcome and, above all, on whether management's confident "hockey-stick" 2H recovery narrative is backed by real-time leasing data</w:t>
      </w:r>
      <w:r>
        <w:t xml:space="preserve"> </w:t>
      </w:r>
      <w:r>
        <w:t xml:space="preserve">— the same narrative that a stock up 20% off its March lows has largely already bought into.</w:t>
      </w:r>
    </w:p>
    <w:p>
      <w:r>
        <w:pict>
          <v:rect style="width:0;height:1.5pt" o:hralign="center" o:hrstd="t" o:hr="t"/>
        </w:pict>
      </w:r>
    </w:p>
    <w:p>
      <w:pPr>
        <w:pStyle w:val="FirstParagraph"/>
      </w:pPr>
      <w:r>
        <w:rPr>
          <w:i/>
          <w:iCs/>
        </w:rPr>
        <w:t xml:space="preserve">Note: All figures above are drawn from Camden's Q1 2026 earnings release/call and market data through July 29, 2026. Q2 actuals were not yet public at the time of writing.</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2026-07-29T19:40:35Z</dcterms:created>
  <dcterms:modified xsi:type="dcterms:W3CDTF">2026-07-29T19:40:35Z</dcterms:modified>
</cp:coreProperties>
</file>

<file path=docProps/custom.xml><?xml version="1.0" encoding="utf-8"?>
<Properties xmlns="http://schemas.openxmlformats.org/officeDocument/2006/custom-properties" xmlns:vt="http://schemas.openxmlformats.org/officeDocument/2006/docPropsVTypes"/>
</file>