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pt-earnings-predictions--2026-07-30"/>
    <w:p>
      <w:pPr>
        <w:pStyle w:val="Heading1"/>
      </w:pPr>
      <w:r>
        <w:t xml:space="preserve">CPT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 per share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~$1.69 vs. cons $1.66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Property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~$393.5M vs. cons $393.1M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Blended Lease Rate Growth (Q2 2026 y/y)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~-0.3% vs. cons ~-1.5%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Core FFO per share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~$1.70 vs. cons $1.70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FFO per share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~$6.75 vs. cons $6.74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Same-Store NOI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~-0.50% vs. cons -0.50%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California portfolio sale / 1031 proceeds redeployment timing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~$650M net proceeds closing by Q3 vs. cons $650M by mid-2026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-1.3% (FADE)</w:t>
            </w:r>
          </w:p>
        </w:tc>
        <w:tc>
          <w:tcPr/>
          <w:p>
            <w:pPr>
              <w:pStyle w:val="Compact"/>
            </w:pPr>
            <w:r>
              <w:t xml:space="preserve">A modest Core FFO beat (driven partly by non-recurring items, as in Q1) is unlikely to move FY26 guidance off the reaffirmed $6.75 midpoint since management has repeatedly stressed quarterly outperformance is timing-related and not to be extrapolated; with CPT already up ~20% off March lows and trading near 2025 highs, an unresolved California sale/1031 timeline, persistent Houston sentiment softness, and Sunbelt blended rates still lagging coastal peers (UDR/EQR/AVB just raised guidance on coastal strength) leave little basis for analysts to lift out-period numbers, so any initial pop fades as the stock reverts toward pre-print levels over the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2026-07-29T19:41:53Z</dcterms:created>
  <dcterms:modified xsi:type="dcterms:W3CDTF">2026-07-29T19:41:53Z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