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That June 1 operating update is exactly what I need — let me read it.# Camden Property Trust (CPT) — Q2 2026 Earnings Preview</w:t>
      </w:r>
      <w:r>
        <w:t xml:space="preserve"> </w:t>
      </w:r>
      <w:r>
        <w:rPr>
          <w:b/>
          <w:bCs/>
        </w:rPr>
        <w:t xml:space="preserve">Report date:</w:t>
      </w:r>
      <w:r>
        <w:t xml:space="preserve"> </w:t>
      </w:r>
      <w:r>
        <w:t xml:space="preserve">After market close, Thursday, July 30, 2026 |</w:t>
      </w:r>
      <w:r>
        <w:t xml:space="preserve"> </w:t>
      </w:r>
      <w:r>
        <w:rPr>
          <w:b/>
          <w:bCs/>
        </w:rPr>
        <w:t xml:space="preserve">Call:</w:t>
      </w:r>
      <w:r>
        <w:t xml:space="preserve"> </w:t>
      </w:r>
      <w:r>
        <w:t xml:space="preserve">Friday, July 31, 10:00 AM CT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Stock price (7/29/26)</w:t>
            </w:r>
          </w:p>
        </w:tc>
        <w:tc>
          <w:tcPr/>
          <w:p>
            <w:pPr>
              <w:pStyle w:val="Compact"/>
            </w:pPr>
            <w:r>
              <w:t xml:space="preserve">~</w:t>
            </w:r>
            <m:oMath>
              <m:r>
                <m:t>116.30</m:t>
              </m:r>
              <m:r>
                <m:rPr>
                  <m:sty m:val="p"/>
                </m:rPr>
                <m:t>(</m:t>
              </m:r>
              <m:r>
                <m:t>u</m:t>
              </m:r>
              <m:r>
                <m:t>p</m:t>
              </m:r>
              <m:r>
                <m:t>f</m:t>
              </m:r>
              <m:r>
                <m:t>r</m:t>
              </m:r>
              <m:r>
                <m:t>o</m:t>
              </m:r>
              <m:r>
                <m:t>m</m:t>
              </m:r>
              <m:r>
                <m:t>a</m:t>
              </m:r>
              <m:r>
                <m:t>2026</m:t>
              </m:r>
              <m:r>
                <m:t>l</m:t>
              </m:r>
              <m:r>
                <m:t>o</m:t>
              </m:r>
              <m:r>
                <m:t>w</m:t>
              </m:r>
              <m:r>
                <m:t>o</m:t>
              </m:r>
              <m:r>
                <m:t>f</m:t>
              </m:r>
              <m:r>
                <m:t> </m:t>
              </m:r>
            </m:oMath>
            <w:r>
              <w:t xml:space="preserve">96.96 in late March)</w:t>
            </w:r>
          </w:p>
        </w:tc>
      </w:tr>
      <w:tr>
        <w:tc>
          <w:tcPr/>
          <w:p>
            <w:pPr>
              <w:pStyle w:val="Compact"/>
            </w:pPr>
            <w:r>
              <w:t xml:space="preserve">Q2 2026 Core FFO guidance</w:t>
            </w:r>
          </w:p>
        </w:tc>
        <w:tc>
          <w:tcPr/>
          <w:p>
            <w:pPr>
              <w:pStyle w:val="Compact"/>
            </w:pPr>
            <m:oMath>
              <m:r>
                <m:t>1.65</m:t>
              </m:r>
              <m:r>
                <m:rPr>
                  <m:sty m:val="p"/>
                </m:rPr>
                <m:t>–</m:t>
              </m:r>
            </m:oMath>
            <w:r>
              <w:t xml:space="preserve">1.69/share (midpoint $1.67)</w:t>
            </w:r>
          </w:p>
        </w:tc>
      </w:tr>
      <w:tr>
        <w:tc>
          <w:tcPr/>
          <w:p>
            <w:pPr>
              <w:pStyle w:val="Compact"/>
            </w:pPr>
            <w:r>
              <w:t xml:space="preserve">FY2026 Core FFO guidance</w:t>
            </w:r>
          </w:p>
        </w:tc>
        <w:tc>
          <w:tcPr/>
          <w:p>
            <w:pPr>
              <w:pStyle w:val="Compact"/>
            </w:pPr>
            <m:oMath>
              <m:r>
                <m:t>6.60</m:t>
              </m:r>
              <m:r>
                <m:rPr>
                  <m:sty m:val="p"/>
                </m:rPr>
                <m:t>–</m:t>
              </m:r>
            </m:oMath>
            <w:r>
              <w:t xml:space="preserve">6.90/share (midpoint $6.75, unchanged from Q1)</w:t>
            </w:r>
          </w:p>
        </w:tc>
      </w:tr>
      <w:tr>
        <w:tc>
          <w:tcPr/>
          <w:p>
            <w:pPr>
              <w:pStyle w:val="Compact"/>
            </w:pPr>
            <w:r>
              <w:t xml:space="preserve">FY2026 same-store NOI guidance</w:t>
            </w:r>
          </w:p>
        </w:tc>
        <w:tc>
          <w:tcPr/>
          <w:p>
            <w:pPr>
              <w:pStyle w:val="Compact"/>
            </w:pPr>
            <w:r>
              <w:t xml:space="preserve">(2.50)% to 1.50% (midpoint -0.50%, unchanged)</w:t>
            </w:r>
          </w:p>
        </w:tc>
      </w:tr>
      <w:tr>
        <w:tc>
          <w:tcPr/>
          <w:p>
            <w:pPr>
              <w:pStyle w:val="Compact"/>
            </w:pPr>
            <w:r>
              <w:t xml:space="preserve">Q1 2026 Core FFO actual</w:t>
            </w:r>
          </w:p>
        </w:tc>
        <w:tc>
          <w:tcPr/>
          <w:p>
            <w:pPr>
              <w:pStyle w:val="Compact"/>
            </w:pPr>
            <w:r>
              <w:t xml:space="preserve">$1.70/share (beat guidance midpoint by $0.04)</w:t>
            </w:r>
          </w:p>
        </w:tc>
      </w:tr>
    </w:tbl>
    <w:p>
      <w:pPr>
        <w:pStyle w:val="BodyText"/>
      </w:pPr>
      <w:r>
        <w:t xml:space="preserve">Camden is a Houston-based, Sunbelt-focused multifamily REIT (Texas, Southeast, Southwest) currently mid-transition: new CEO/COO/CFO team (Alex Jessett, Laurie Baker, Ben Fraker) took over this year, the company is executing a large California portfolio sale/1031 redeployment, and it has been aggressively buying back stock at a discount to NAV.</w:t>
      </w:r>
    </w:p>
    <w:p>
      <w:r>
        <w:pict>
          <v:rect style="width:0;height:1.5pt" o:hralign="center" o:hrstd="t" o:hr="t"/>
        </w:pict>
      </w:r>
    </w:p>
    <w:bookmarkEnd w:id="9"/>
    <w:bookmarkStart w:id="10" w:name="what-happened-last-quarter-q1-2026-recap"/>
    <w:p>
      <w:pPr>
        <w:pStyle w:val="Heading2"/>
      </w:pPr>
      <w:r>
        <w:t xml:space="preserve">What Happened Last Quarter (Q1 2026 Recap)</w:t>
      </w:r>
    </w:p>
    <w:p>
      <w:pPr>
        <w:pStyle w:val="FirstParagraph"/>
      </w:pPr>
      <w:r>
        <w:t xml:space="preserve">Camden's Q1 came in ahead of plan but the beat was largely non-recurring. Core FFO was $1.70 per share, which exceeded the midpoint of guidance by $0.04 per share, driven by $0.01 from higher revenues from operating properties primarily attributable to lower-than-anticipated bad debt and higher collections on delinquent rent, another $0.02 from property expense savings that were largely timing related, and the remaining $0.01 from the timing of third-party construction fee income. Management was explicit that this was</w:t>
      </w:r>
      <w:r>
        <w:t xml:space="preserve"> </w:t>
      </w:r>
      <w:r>
        <w:rPr>
          <w:b/>
          <w:bCs/>
        </w:rPr>
        <w:t xml:space="preserve">not</w:t>
      </w:r>
      <w:r>
        <w:t xml:space="preserve"> </w:t>
      </w:r>
      <w:r>
        <w:t xml:space="preserve">a trend to extrapolate: "we are reaffirming the midpoint of our full year same-store revenue guidance at 0.75%... we are reaffirming the midpoint of our same-store expense guidance at 3%... the midpoint of our same-store NOI guidance remains unchanged at negative 0.5%".</w:t>
      </w:r>
    </w:p>
    <w:p>
      <w:pPr>
        <w:pStyle w:val="BodyText"/>
      </w:pPr>
      <w:r>
        <w:t xml:space="preserve">Same-store fundamentals were still soft in Q1: occupancy of 95.1% and blended lease rates down 1.4% year-over-year, with new lease rates down 5.2% partially offset by 2.9% renewal growth (per the Q1 release). GAAP results were also messy: Q1 EPS/FFO included approximately $0.48 per diluted share primarily due to litigation-related charges [the $53M RealPage-related class action settlement] and EPS included approximately $0.64 per diluted share mainly due to the gain on sale of an operating property.</w:t>
      </w:r>
    </w:p>
    <w:p>
      <w:pPr>
        <w:pStyle w:val="BodyText"/>
      </w:pPr>
      <w:r>
        <w:t xml:space="preserve">Guidance for Q2 already calls for a</w:t>
      </w:r>
      <w:r>
        <w:t xml:space="preserve"> </w:t>
      </w:r>
      <w:r>
        <w:rPr>
          <w:b/>
          <w:bCs/>
        </w:rPr>
        <w:t xml:space="preserve">sequential dip</w:t>
      </w:r>
      <w:r>
        <w:t xml:space="preserve">: core FFO per share for the second quarter to be within the range of $1.65 to $1.69, representing a $0.03 per share sequential decline from the first quarter at the midpoint... driven by a $0.04 sequential decrease in same-store NOI as higher expected revenues during the second quarter are offset by the seasonality and timing of certain repair and maintenance expenses and the timing of annual merit increases, partly offset by acquisition NOI. Investors should treat the Q2 print in that context — a modest FFO decline was already flagged, so the real story is same-store trend, not the headline number.</w:t>
      </w:r>
    </w:p>
    <w:p>
      <w:r>
        <w:pict>
          <v:rect style="width:0;height:1.5pt" o:hralign="center" o:hrstd="t" o:hr="t"/>
        </w:pict>
      </w:r>
    </w:p>
    <w:bookmarkEnd w:id="10"/>
    <w:bookmarkStart w:id="11" w:name="key-things-to-watch-in-tomorrows-report"/>
    <w:p>
      <w:pPr>
        <w:pStyle w:val="Heading2"/>
      </w:pPr>
      <w:r>
        <w:t xml:space="preserve">Key Things to Watch in Tomorrow's Report</w:t>
      </w:r>
    </w:p>
    <w:p>
      <w:pPr>
        <w:pStyle w:val="FirstParagraph"/>
      </w:pPr>
      <w:r>
        <w:rPr>
          <w:b/>
          <w:bCs/>
        </w:rPr>
        <w:t xml:space="preserve">1. Did the spring/summer leasing acceleration management promised actually show up?</w:t>
      </w:r>
      <w:r>
        <w:t xml:space="preserve"> </w:t>
      </w:r>
      <w:r>
        <w:t xml:space="preserve">On the Q1 call, CEO Alex Jessett gave an unusually specific interim data point: "April occupancy is right around 95.4%... that compares to 95.1% in the first quarter... we are seeing blended rates up about 100 basis points in April as compared to what we saw in the first quarter", and flagged Atlanta, Dallas, Orlando, Nashville, Raleigh and Southeast Florida as markets showing "green shoots." A June 1 operating update reaffirmed performance to date is in line with guidance and expectations provided in conjunction with its first quarter 2026 earnings release — investors will want confirmation that May/June held that trajectory into Q2, and whether management still expects the "hockey stick" improvement into Q3/Q4 that Jessett described: "we are anticipating sort of a hockey stick in the latter part of 2026 as we get through this absorption... if you just look back at what we saw coming out of the GFC, then it becomes a steady but strong growth on a go-forward basis".</w:t>
      </w:r>
    </w:p>
    <w:p>
      <w:pPr>
        <w:pStyle w:val="BodyText"/>
      </w:pPr>
      <w:r>
        <w:rPr>
          <w:b/>
          <w:bCs/>
        </w:rPr>
        <w:t xml:space="preserve">2. California disposition — did it close, and on what terms?</w:t>
      </w:r>
      <w:r>
        <w:t xml:space="preserve"> </w:t>
      </w:r>
      <w:r>
        <w:t xml:space="preserve">Camden began marketing 11 California operating communities and as of the Q1 call was "currently in the diligence process with one buyer for the entire portfolio with an anticipated close date at the end of June or early July", with "approximately 60% of the sales proceeds... reinvested through 1031 exchanges into our existing high-demand, high-growth Sunbelt markets" and the balance (modeled at $650 million) funding buybacks. As of the July 7 earnings-date press release, Camden's property count was still listed at 176 properties/59,676 homes, suggesting the CA sale had</w:t>
      </w:r>
      <w:r>
        <w:t xml:space="preserve"> </w:t>
      </w:r>
      <w:r>
        <w:rPr>
          <w:b/>
          <w:bCs/>
        </w:rPr>
        <w:t xml:space="preserve">not yet closed</w:t>
      </w:r>
      <w:r>
        <w:t xml:space="preserve"> </w:t>
      </w:r>
      <w:r>
        <w:t xml:space="preserve">— this will be one of the most important updates on tomorrow's call, since 1031 timing creates real earnings variability, as Jessett warned: "the timing of the exchanges can add considerable variability to our 2026 earnings as we do not receive the sales proceeds until we complete the exchanges".</w:t>
      </w:r>
    </w:p>
    <w:p>
      <w:pPr>
        <w:pStyle w:val="BodyText"/>
      </w:pPr>
      <w:r>
        <w:rPr>
          <w:b/>
          <w:bCs/>
        </w:rPr>
        <w:t xml:space="preserve">3. Capital allocation / buyback pace.</w:t>
      </w:r>
      <w:r>
        <w:t xml:space="preserve"> </w:t>
      </w:r>
      <w:r>
        <w:t xml:space="preserve">Camden has been unusually aggressive buying its own stock at a discount to NAV: "During the quarter, Camden repurchased 2,633,030 common shares at an average price of $105.88 per share for a total of $278.8 million. Subsequent to quarter end, Camden repurchased 1,429,136 common shares at an average price of $100.78... Year to date, Camden repurchased 4,062,166 common shares at an average price of $104.08 for a total of $422.9 million", with $297.8 million left under the program as of the release. Management noted the FFO yield on this activity was compelling ("between 2025 and '26, we bought back $693 million in advance of our California sale at an average price of $105 and change. That represents a 6.4% FFO yield"), but guidance assumed no further buybacks. With the stock now near $116, well above the average repurchase price, watch whether management signals a pause or pivot back toward acquisitions/development given the price recovery.</w:t>
      </w:r>
    </w:p>
    <w:p>
      <w:pPr>
        <w:pStyle w:val="BodyText"/>
      </w:pPr>
      <w:r>
        <w:rPr>
          <w:b/>
          <w:bCs/>
        </w:rPr>
        <w:t xml:space="preserve">4. Acquisitions progress toward the $1B target.</w:t>
      </w:r>
      <w:r>
        <w:t xml:space="preserve"> </w:t>
      </w:r>
      <w:r>
        <w:t xml:space="preserve">Camden closed Camden Alpharetta and Camden at Lake Nona for a combined $170–171 million after Q1, and as of the Q1 call had been "awarded" roughly $250 million of additional deals, putting it "pretty close to halfway towards our $1 billion goal" in acquisitions meant to absorb 1031 proceeds. Cap rates for quality Sunbelt product were described as stable at "4.5% to 5% range and have been for some time".</w:t>
      </w:r>
    </w:p>
    <w:p>
      <w:pPr>
        <w:pStyle w:val="BodyText"/>
      </w:pPr>
      <w:r>
        <w:rPr>
          <w:b/>
          <w:bCs/>
        </w:rPr>
        <w:t xml:space="preserve">5. Bad debt / collections durability.</w:t>
      </w:r>
      <w:r>
        <w:t xml:space="preserve"> </w:t>
      </w:r>
      <w:r>
        <w:t xml:space="preserve">Q1's outperformance was flattered by "our lowest bad debt level since the onset of COVID-19 at less than 40 basis points," attributed partly to a one-time tax-refund boost. Management was careful to caveat that this doesn't necessarily persist — watch Q2 bad debt trends for signs the benefit is fading as anticipated.</w:t>
      </w:r>
    </w:p>
    <w:p>
      <w:pPr>
        <w:pStyle w:val="BodyText"/>
      </w:pPr>
      <w:r>
        <w:rPr>
          <w:b/>
          <w:bCs/>
        </w:rPr>
        <w:t xml:space="preserve">6. Houston softness.</w:t>
      </w:r>
      <w:r>
        <w:t xml:space="preserve"> </w:t>
      </w:r>
      <w:r>
        <w:t xml:space="preserve">Houston (a core, heavily-weighted Camden market) showed occupancy weakness in Q1 that management attributed to consumer sentiment rather than fundamentals: "Houston's consumer sentiment has fallen pretty dramatically in '26 as compared to '25... our rent to income in Houston is 16%, it's one of the lowest in our entire portfolio... Supply has come down pretty dramatically, Houston will get better. It's just a sentiment issue". Confirmation that Houston stabilizes (or doesn't) matters given its portfolio weight.</w:t>
      </w:r>
    </w:p>
    <w:p>
      <w:pPr>
        <w:pStyle w:val="BodyText"/>
      </w:pPr>
      <w:r>
        <w:rPr>
          <w:b/>
          <w:bCs/>
        </w:rPr>
        <w:t xml:space="preserve">7. Balance sheet / leverage drift.</w:t>
      </w:r>
      <w:r>
        <w:t xml:space="preserve"> </w:t>
      </w:r>
      <w:r>
        <w:t xml:space="preserve">Net Debt to Annualized Adjusted EBITDAre rose to 4.7x from 4.1x a year ago, reflecting debt-funded buybacks ahead of the California sale closing. Camden also termed out debt in Q1 (10-year unsecured notes at 5.03% effective rate, and a recast/extended</w:t>
      </w:r>
      <w:r>
        <w:t xml:space="preserve"> </w:t>
      </w:r>
      <m:oMath>
        <m:r>
          <m:t>1.2</m:t>
        </m:r>
        <m:r>
          <m:t>B</m:t>
        </m:r>
        <m:r>
          <m:t>r</m:t>
        </m:r>
        <m:r>
          <m:t>e</m:t>
        </m:r>
        <m:r>
          <m:t>v</m:t>
        </m:r>
        <m:r>
          <m:t>o</m:t>
        </m:r>
        <m:r>
          <m:t>l</m:t>
        </m:r>
        <m:r>
          <m:t>v</m:t>
        </m:r>
        <m:r>
          <m:t>e</m:t>
        </m:r>
        <m:r>
          <m:t>r</m:t>
        </m:r>
        <m:r>
          <m:rPr>
            <m:sty m:val="p"/>
          </m:rPr>
          <m:t>)</m:t>
        </m:r>
        <m:r>
          <m:rPr>
            <m:sty m:val="p"/>
          </m:rPr>
          <m:t>,</m:t>
        </m:r>
        <m:r>
          <m:t>s</m:t>
        </m:r>
        <m:r>
          <m:t>o</m:t>
        </m:r>
        <m:r>
          <m:t>l</m:t>
        </m:r>
        <m:r>
          <m:t>i</m:t>
        </m:r>
        <m:r>
          <m:t>q</m:t>
        </m:r>
        <m:r>
          <m:t>u</m:t>
        </m:r>
        <m:r>
          <m:t>i</m:t>
        </m:r>
        <m:r>
          <m:t>d</m:t>
        </m:r>
        <m:r>
          <m:t>i</m:t>
        </m:r>
        <m:r>
          <m:t>t</m:t>
        </m:r>
        <m:r>
          <m:t>y</m:t>
        </m:r>
        <m:r>
          <m:t>i</m:t>
        </m:r>
        <m:r>
          <m:t>s</m:t>
        </m:r>
        <m:r>
          <m:t>s</m:t>
        </m:r>
        <m:r>
          <m:t>o</m:t>
        </m:r>
        <m:r>
          <m:t>l</m:t>
        </m:r>
        <m:r>
          <m:t>i</m:t>
        </m:r>
        <m:r>
          <m:t>d</m:t>
        </m:r>
        <m:r>
          <m:rPr>
            <m:sty m:val="p"/>
          </m:rPr>
          <m:t>(</m:t>
        </m:r>
        <m:r>
          <m:t> </m:t>
        </m:r>
      </m:oMath>
      <w:r>
        <w:t xml:space="preserve">882 million at quarter-end), but leverage should normalize lower once CA proceeds are received — a delay in closing keeps leverage elevated longer.</w:t>
      </w:r>
    </w:p>
    <w:p>
      <w:r>
        <w:pict>
          <v:rect style="width:0;height:1.5pt" o:hralign="center" o:hrstd="t" o:hr="t"/>
        </w:pict>
      </w:r>
    </w:p>
    <w:bookmarkEnd w:id="11"/>
    <w:bookmarkStart w:id="12" w:name="Xf355c542e492ac6f5c0487a9e7b068559efdb50"/>
    <w:p>
      <w:pPr>
        <w:pStyle w:val="Heading2"/>
      </w:pPr>
      <w:r>
        <w:t xml:space="preserve">Sector Backdrop: Mixed Read-Throughs From Peers</w:t>
      </w:r>
    </w:p>
    <w:p>
      <w:pPr>
        <w:pStyle w:val="FirstParagraph"/>
      </w:pPr>
      <w:r>
        <w:t xml:space="preserve">Multifamily peers that have already reported Q2 2026 show a</w:t>
      </w:r>
      <w:r>
        <w:t xml:space="preserve"> </w:t>
      </w:r>
      <w:r>
        <w:rPr>
          <w:b/>
          <w:bCs/>
        </w:rPr>
        <w:t xml:space="preserve">bifurcated market that cuts against Camden's Sunbelt-heavy footprint</w:t>
      </w:r>
      <w:r>
        <w:t xml:space="preserve">:</w:t>
      </w:r>
    </w:p>
    <w:p>
      <w:pPr>
        <w:pStyle w:val="Compact"/>
        <w:numPr>
          <w:ilvl w:val="0"/>
          <w:numId w:val="1001"/>
        </w:numPr>
      </w:pPr>
      <w:r>
        <w:rPr>
          <w:b/>
          <w:bCs/>
        </w:rPr>
        <w:t xml:space="preserve">UDR</w:t>
      </w:r>
      <w:r>
        <w:t xml:space="preserve"> </w:t>
      </w:r>
      <w:r>
        <w:t xml:space="preserve">(diversified coastal/Sunbelt mix) beat and</w:t>
      </w:r>
      <w:r>
        <w:t xml:space="preserve"> </w:t>
      </w:r>
      <w:r>
        <w:rPr>
          <w:i/>
          <w:iCs/>
        </w:rPr>
        <w:t xml:space="preserve">raised</w:t>
      </w:r>
      <w:r>
        <w:t xml:space="preserve"> </w:t>
      </w:r>
      <w:r>
        <w:t xml:space="preserve">full-year guidance, with blended lease growth of 2.1%, but flagged a sharp coastal/Sunbelt gap: "coastal markets... delivered blended lease rate growth of 3.8% on average as compared to -2% blends in the Sun Belt", though it noted Sunbelt was "a little bit better. So I'm seeing a little bit more momentum there. I'm seeing around one, call it, call it -1.5% versus that -2%" in early July.</w:t>
      </w:r>
    </w:p>
    <w:p>
      <w:pPr>
        <w:pStyle w:val="Compact"/>
        <w:numPr>
          <w:ilvl w:val="0"/>
          <w:numId w:val="1001"/>
        </w:numPr>
      </w:pPr>
      <w:r>
        <w:rPr>
          <w:b/>
          <w:bCs/>
        </w:rPr>
        <w:t xml:space="preserve">Equity Residential</w:t>
      </w:r>
      <w:r>
        <w:t xml:space="preserve"> </w:t>
      </w:r>
      <w:r>
        <w:t xml:space="preserve">(coastal-concentrated) also raised full-year same-store guidance, citing "strong momentum in the San Francisco market along with improvements in Bad Debt, Net across the portfolio", with blended rate growth of 3.0% in July.</w:t>
      </w:r>
    </w:p>
    <w:p>
      <w:pPr>
        <w:pStyle w:val="Compact"/>
        <w:numPr>
          <w:ilvl w:val="0"/>
          <w:numId w:val="1001"/>
        </w:numPr>
      </w:pPr>
      <w:r>
        <w:rPr>
          <w:b/>
          <w:bCs/>
        </w:rPr>
        <w:t xml:space="preserve">AvalonBay</w:t>
      </w:r>
      <w:r>
        <w:t xml:space="preserve"> </w:t>
      </w:r>
      <w:r>
        <w:t xml:space="preserve">likewise raised its same-store outlook, again led by coastal markets.</w:t>
      </w:r>
    </w:p>
    <w:p>
      <w:pPr>
        <w:pStyle w:val="Compact"/>
        <w:numPr>
          <w:ilvl w:val="0"/>
          <w:numId w:val="1001"/>
        </w:numPr>
      </w:pPr>
      <w:r>
        <w:t xml:space="preserve">Notably,</w:t>
      </w:r>
      <w:r>
        <w:t xml:space="preserve"> </w:t>
      </w:r>
      <w:r>
        <w:rPr>
          <w:b/>
          <w:bCs/>
        </w:rPr>
        <w:t xml:space="preserve">EQR and AVB announced an all-stock "merger of equals"</w:t>
      </w:r>
      <w:r>
        <w:t xml:space="preserve"> </w:t>
      </w:r>
      <w:r>
        <w:t xml:space="preserve">in May 2026 creating a ~$53B market-cap combined company — a reminder of sector consolidation pressure. CPT's CEO was asked directly about this on the Q1 call and pushed back on scale as a strategic imperative: "bigger is not better, better is better. And if you look at a long-term trends, there's absolutely no correlation between size of the company and total shareholder return".</w:t>
      </w:r>
    </w:p>
    <w:p>
      <w:pPr>
        <w:pStyle w:val="FirstParagraph"/>
      </w:pPr>
      <w:r>
        <w:rPr>
          <w:b/>
          <w:bCs/>
        </w:rPr>
        <w:t xml:space="preserve">Read-through for CPT:</w:t>
      </w:r>
      <w:r>
        <w:t xml:space="preserve"> </w:t>
      </w:r>
      <w:r>
        <w:t xml:space="preserve">because coastal markets (SF, NY, Boston) are outperforming and Sunbelt/Texas markets are still absorbing peak supply, Camden — with essentially no coastal exposure — may continue to show relatively weaker blended lease growth than the sector-wide averages being reported by more geographically diversified peers, even as its own Sunbelt markets show sequential improvement. The read-through also reinforces Camden's own thesis that 2026 is a trough absorption year with recovery weighted to 2H26/2027 as supply keeps falling (management cited market-wide completions dropping from "200,000 completions [in 2025] that drops to about 140, 150 this year... 135 in 2027 and down to 120 in 2028").</w:t>
      </w:r>
    </w:p>
    <w:p>
      <w:r>
        <w:pict>
          <v:rect style="width:0;height:1.5pt" o:hralign="center" o:hrstd="t" o:hr="t"/>
        </w:pict>
      </w:r>
    </w:p>
    <w:bookmarkEnd w:id="12"/>
    <w:bookmarkStart w:id="13" w:name="valuation--stock-context"/>
    <w:p>
      <w:pPr>
        <w:pStyle w:val="Heading2"/>
      </w:pPr>
      <w:r>
        <w:t xml:space="preserve">Valuation / Stock Context</w:t>
      </w:r>
    </w:p>
    <w:p>
      <w:pPr>
        <w:pStyle w:val="FirstParagraph"/>
      </w:pPr>
      <w:r>
        <w:t xml:space="preserve">CPT shares bottomed around</w:t>
      </w:r>
      <w:r>
        <w:t xml:space="preserve"> </w:t>
      </w:r>
      <m:oMath>
        <m:r>
          <m:t>97</m:t>
        </m:r>
        <m:r>
          <m:t>i</m:t>
        </m:r>
        <m:r>
          <m:t>n</m:t>
        </m:r>
        <m:r>
          <m:t>l</m:t>
        </m:r>
        <m:r>
          <m:t>a</m:t>
        </m:r>
        <m:r>
          <m:t>t</m:t>
        </m:r>
        <m:r>
          <m:t>e</m:t>
        </m:r>
        <m:r>
          <m:t>M</m:t>
        </m:r>
        <m:r>
          <m:t>a</m:t>
        </m:r>
        <m:r>
          <m:t>r</m:t>
        </m:r>
        <m:r>
          <m:t>c</m:t>
        </m:r>
        <m:r>
          <m:t>h</m:t>
        </m:r>
        <m:r>
          <m:t>2026</m:t>
        </m:r>
        <m:r>
          <m:t>a</m:t>
        </m:r>
        <m:r>
          <m:t>m</m:t>
        </m:r>
        <m:r>
          <m:t>i</m:t>
        </m:r>
        <m:r>
          <m:t>d</m:t>
        </m:r>
        <m:r>
          <m:t>b</m:t>
        </m:r>
        <m:r>
          <m:t>r</m:t>
        </m:r>
        <m:r>
          <m:t>o</m:t>
        </m:r>
        <m:r>
          <m:t>a</m:t>
        </m:r>
        <m:r>
          <m:t>d</m:t>
        </m:r>
        <m:r>
          <m:t>e</m:t>
        </m:r>
        <m:r>
          <m:t>r</m:t>
        </m:r>
        <m:r>
          <m:t>r</m:t>
        </m:r>
        <m:r>
          <m:t>a</m:t>
        </m:r>
        <m:r>
          <m:t>t</m:t>
        </m:r>
        <m:r>
          <m:t>e</m:t>
        </m:r>
        <m:r>
          <m:rPr>
            <m:sty m:val="p"/>
          </m:rPr>
          <m:t>/</m:t>
        </m:r>
        <m:r>
          <m:t>t</m:t>
        </m:r>
        <m:r>
          <m:t>a</m:t>
        </m:r>
        <m:r>
          <m:t>r</m:t>
        </m:r>
        <m:r>
          <m:t>i</m:t>
        </m:r>
        <m:r>
          <m:t>f</m:t>
        </m:r>
        <m:r>
          <m:t>f</m:t>
        </m:r>
        <m:r>
          <m:t>v</m:t>
        </m:r>
        <m:r>
          <m:t>o</m:t>
        </m:r>
        <m:r>
          <m:t>l</m:t>
        </m:r>
        <m:r>
          <m:t>a</m:t>
        </m:r>
        <m:r>
          <m:t>t</m:t>
        </m:r>
        <m:r>
          <m:t>i</m:t>
        </m:r>
        <m:r>
          <m:t>l</m:t>
        </m:r>
        <m:r>
          <m:t>i</m:t>
        </m:r>
        <m:r>
          <m:t>t</m:t>
        </m:r>
        <m:r>
          <m:t>y</m:t>
        </m:r>
        <m:r>
          <m:rPr>
            <m:sty m:val="p"/>
          </m:rPr>
          <m:t>,</m:t>
        </m:r>
        <m:r>
          <m:t>t</m:t>
        </m:r>
        <m:r>
          <m:t>h</m:t>
        </m:r>
        <m:r>
          <m:t>e</m:t>
        </m:r>
        <m:r>
          <m:t>n</m:t>
        </m:r>
        <m:r>
          <m:t>r</m:t>
        </m:r>
        <m:r>
          <m:t>a</m:t>
        </m:r>
        <m:r>
          <m:t>l</m:t>
        </m:r>
        <m:r>
          <m:t>l</m:t>
        </m:r>
        <m:r>
          <m:t>i</m:t>
        </m:r>
        <m:r>
          <m:t>e</m:t>
        </m:r>
        <m:r>
          <m:t>d</m:t>
        </m:r>
        <m:r>
          <m:t>s</m:t>
        </m:r>
        <m:r>
          <m:t>t</m:t>
        </m:r>
        <m:r>
          <m:t>e</m:t>
        </m:r>
        <m:r>
          <m:t>a</m:t>
        </m:r>
        <m:r>
          <m:t>d</m:t>
        </m:r>
        <m:r>
          <m:t>i</m:t>
        </m:r>
        <m:r>
          <m:t>l</m:t>
        </m:r>
        <m:r>
          <m:t>y</m:t>
        </m:r>
        <m:r>
          <m:t>t</m:t>
        </m:r>
        <m:r>
          <m:t>o</m:t>
        </m:r>
        <m:r>
          <m:t> </m:t>
        </m:r>
      </m:oMath>
      <w:r>
        <w:t xml:space="preserve">116 by late July — a ~20% recovery — helped by the buyback program, easing new-supply data, and improving sector sentiment (UDR/EQR/AVB beats and raises in the days just before CPT reports). The stock is trading near 2025 highs, meaning expectations going into the print are elevated relative to where shares sat in Q1.</w:t>
      </w:r>
    </w:p>
    <w:p>
      <w:r>
        <w:pict>
          <v:rect style="width:0;height:1.5pt" o:hralign="center" o:hrstd="t" o:hr="t"/>
        </w:pict>
      </w:r>
    </w:p>
    <w:bookmarkEnd w:id="13"/>
    <w:bookmarkStart w:id="14" w:name="bottom-line-for-investors"/>
    <w:p>
      <w:pPr>
        <w:pStyle w:val="Heading2"/>
      </w:pPr>
      <w:r>
        <w:t xml:space="preserve">Bottom Line for Investors</w:t>
      </w:r>
    </w:p>
    <w:p>
      <w:pPr>
        <w:pStyle w:val="FirstParagraph"/>
      </w:pPr>
      <w:r>
        <w:t xml:space="preserve">The headline Core FFO number should track close to the</w:t>
      </w:r>
      <w:r>
        <w:t xml:space="preserve"> </w:t>
      </w:r>
      <m:oMath>
        <m:r>
          <m:t>1.65</m:t>
        </m:r>
        <m:r>
          <m:rPr>
            <m:sty m:val="p"/>
          </m:rPr>
          <m:t>–</m:t>
        </m:r>
      </m:oMath>
      <w:r>
        <w:t xml:space="preserve">1.69 guided range (a small sequential step-down was already flagged), so the market's focus should be on: (1) confirmation that April's occupancy/blended-rate acceleration continued through Q2 and into July, (2) status/timing of the California portfolio sale and 1031 redeployment (a swing factor for both earnings and leverage), (3) further buyback disclosure now that shares have re-rated closer to NAV, and (4) any incremental commentary on Houston and broader Sunbelt supply absorption that would validate management's "hockey stick" recovery thesis for late 2026 into 2027.</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2026-07-29T19:41:53Z</dcterms:created>
  <dcterms:modified xsi:type="dcterms:W3CDTF">2026-07-29T19:41:53Z</dcterms:modified>
</cp:coreProperties>
</file>

<file path=docProps/custom.xml><?xml version="1.0" encoding="utf-8"?>
<Properties xmlns="http://schemas.openxmlformats.org/officeDocument/2006/custom-properties" xmlns:vt="http://schemas.openxmlformats.org/officeDocument/2006/docPropsVTypes"/>
</file>