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~$1.68 vs. cons $1.67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same-property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~0.5% vs. cons 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blended lease-rate spread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~-0.1% vs. cons 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Core FFO per share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~$6.65 vs. cons $6.65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same-property revenue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~0.75% vs. cons 0.75%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Third-quarter Core FFO per share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~$1.67 vs. cons $1.68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blended lease-rate spread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~0.7% vs. cons 1.0% (July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(FOLLOW-THROUGH)</w:t>
            </w:r>
          </w:p>
        </w:tc>
        <w:tc>
          <w:tcPr/>
          <w:p>
            <w:pPr>
              <w:pStyle w:val="Compact"/>
            </w:pPr>
            <w:r>
              <w:t xml:space="preserve">An in-line Q2 print is likely overshadowed by an implicit ~</w:t>
            </w:r>
            <m:oMath>
              <m:r>
                <m:t>0.10</m:t>
              </m:r>
              <m:r>
                <m:t>r</m:t>
              </m:r>
              <m:r>
                <m:t>e</m:t>
              </m:r>
              <m:r>
                <m:t>d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F</m:t>
              </m:r>
              <m:r>
                <m:t>F</m:t>
              </m:r>
              <m:r>
                <m:t>O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 </m:t>
              </m:r>
            </m:oMath>
            <w:r>
              <w:t xml:space="preserve">0.01 below consensus. Delayed California disposition/redeployment timing and July leasing improvement below elevated expectations should pull out-period estimates lower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2026-07-29T19:44:32Z</dcterms:created>
  <dcterms:modified xsi:type="dcterms:W3CDTF">2026-07-29T19:44:32Z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