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cpt-q2-2026-earnings-preview"/>
    <w:p>
      <w:pPr>
        <w:pStyle w:val="Heading1"/>
      </w:pPr>
      <w:r>
        <w:t xml:space="preserve">CPT Q2 2026 Earnings Preview</w:t>
      </w:r>
    </w:p>
    <w:p>
      <w:pPr>
        <w:pStyle w:val="FirstParagraph"/>
      </w:pPr>
      <w:r>
        <w:rPr>
          <w:b/>
          <w:bCs/>
        </w:rPr>
        <w:t xml:space="preserve">Camden Property Trust (NYSE: CPT)</w:t>
      </w:r>
      <w:r>
        <w:t xml:space="preserve"> </w:t>
      </w:r>
      <w:r>
        <w:t xml:space="preserve">reports second-quarter results after the market closes on</w:t>
      </w:r>
      <w:r>
        <w:t xml:space="preserve"> </w:t>
      </w:r>
      <w:r>
        <w:rPr>
          <w:b/>
          <w:bCs/>
        </w:rPr>
        <w:t xml:space="preserve">Thursday, July 30, 2026</w:t>
      </w:r>
      <w:r>
        <w:t xml:space="preserve">. The conference call is scheduled for</w:t>
      </w:r>
      <w:r>
        <w:t xml:space="preserve"> </w:t>
      </w:r>
      <w:r>
        <w:rPr>
          <w:b/>
          <w:bCs/>
        </w:rPr>
        <w:t xml:space="preserve">Friday, July 31 at 10:00 a.m. Central Time</w:t>
      </w:r>
      <w:r>
        <w:t xml:space="preserve">. (</w:t>
      </w:r>
      <w:hyperlink r:id="rId9">
        <w:r>
          <w:rPr>
            <w:rStyle w:val="Hyperlink"/>
          </w:rPr>
          <w:t xml:space="preserve">investors.camdenliving.com</w:t>
        </w:r>
      </w:hyperlink>
      <w:r>
        <w:t xml:space="preserve">)</w:t>
      </w:r>
    </w:p>
    <w:bookmarkStart w:id="10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The headline Core FFO number should be relatively uneventful: management guided to</w:t>
      </w:r>
      <w:r>
        <w:t xml:space="preserve"> </w:t>
      </w:r>
      <m:oMath>
        <m:r>
          <m:t>1.65</m:t>
        </m:r>
        <m:r>
          <m:rPr>
            <m:sty m:val="p"/>
          </m:rPr>
          <m:t>–</m:t>
        </m:r>
      </m:oMath>
      <w:r>
        <w:rPr>
          <w:b/>
          <w:bCs/>
        </w:rPr>
        <w:t xml:space="preserve">1.69 per share</w:t>
      </w:r>
      <w:r>
        <w:t xml:space="preserve">, and consensus sits at</w:t>
      </w:r>
      <w:r>
        <w:t xml:space="preserve"> </w:t>
      </w:r>
      <w:r>
        <w:rPr>
          <w:b/>
          <w:bCs/>
        </w:rPr>
        <w:t xml:space="preserve">$1.67</w:t>
      </w:r>
      <w:r>
        <w:t xml:space="preserve">, the midpoint of the range. The more consequential questions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peak leasing season produce the expected inflection in new-lease and blended spreads?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Has Camden completed—or at least firmly secured—the sale of its 11-property Southern California portfolio?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management defend the $6.75 full-year Core FFO midpoint despite Street estimates closer to $6.65?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lower supply and concessions translating into better July pricing, or is the recovery again being pushed out?</w:t>
      </w:r>
    </w:p>
    <w:p>
      <w:pPr>
        <w:pStyle w:val="FirstParagraph"/>
      </w:pPr>
      <w:r>
        <w:t xml:space="preserve">A routine FFO beat without improved leasing data or transaction clarity may not be enough. CPT has risen approximately</w:t>
      </w:r>
      <w:r>
        <w:t xml:space="preserve"> </w:t>
      </w:r>
      <w:r>
        <w:rPr>
          <w:b/>
          <w:bCs/>
        </w:rPr>
        <w:t xml:space="preserve">11% since its first-quarter report</w:t>
      </w:r>
      <w:r>
        <w:t xml:space="preserve">, lifting the valuation to about</w:t>
      </w:r>
      <w:r>
        <w:t xml:space="preserve"> </w:t>
      </w:r>
      <w:r>
        <w:rPr>
          <w:b/>
          <w:bCs/>
        </w:rPr>
        <w:t xml:space="preserve">17.2x</w:t>
      </w:r>
      <w:r>
        <w:t xml:space="preserve"> </w:t>
      </w:r>
      <w:r>
        <w:t xml:space="preserve">the company’s full-year Core FFO midpoint and lowering the annualized dividend yield to roughly</w:t>
      </w:r>
      <w:r>
        <w:t xml:space="preserve"> </w:t>
      </w:r>
      <w:r>
        <w:rPr>
          <w:b/>
          <w:bCs/>
        </w:rPr>
        <w:t xml:space="preserve">3.65%</w:t>
      </w:r>
      <w:r>
        <w:t xml:space="preserve">.</w:t>
      </w:r>
    </w:p>
    <w:bookmarkEnd w:id="10"/>
    <w:bookmarkStart w:id="13" w:name="key-reported-numbers"/>
    <w:p>
      <w:pPr>
        <w:pStyle w:val="Heading2"/>
      </w:pPr>
      <w:r>
        <w:t xml:space="preserve">Key reported numbers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expectation /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1.69/share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FFO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$1.67/share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Core FFO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$1.70/share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Core FFO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6.60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6.90; $6.75 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$6.65/share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same-property revenue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+0.75%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same-property expense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same-property NOI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-0.5%</w:t>
            </w:r>
          </w:p>
        </w:tc>
      </w:tr>
    </w:tbl>
    <w:p>
      <w:pPr>
        <w:pStyle w:val="BodyText"/>
      </w:pPr>
      <w:r>
        <w:t xml:space="preserve">Consensus therefore anticipates a roughly</w:t>
      </w:r>
      <w:r>
        <w:t xml:space="preserve"> </w:t>
      </w:r>
      <w:r>
        <w:rPr>
          <w:b/>
          <w:bCs/>
        </w:rPr>
        <w:t xml:space="preserve">2% year-over-year decline</w:t>
      </w:r>
      <w:r>
        <w:t xml:space="preserve"> </w:t>
      </w:r>
      <w:r>
        <w:t xml:space="preserve">in quarterly Core FFO and remains $0.10 below management’s annual midpoint. (</w:t>
      </w:r>
      <w:hyperlink r:id="rId11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Management previously explained that the expected sequential decline from Q1’s $1.70 Core FFO reflected a $0.04 drag from same-property NOI—primarily seasonal repairs, maintenance and annual merit increases—partially offset by $0.01 from acquisition-related NOI. (</w:t>
      </w:r>
      <w:hyperlink r:id="rId12">
        <w:r>
          <w:rPr>
            <w:rStyle w:val="Hyperlink"/>
          </w:rPr>
          <w:t xml:space="preserve">s28.q4cdn.com</w:t>
        </w:r>
      </w:hyperlink>
      <w:r>
        <w:t xml:space="preserve">)</w:t>
      </w:r>
    </w:p>
    <w:bookmarkEnd w:id="13"/>
    <w:bookmarkStart w:id="16" w:name="Xe8f8128b0d4a1b180e3dc0ed4ce9c99e5fa7c9f"/>
    <w:p>
      <w:pPr>
        <w:pStyle w:val="Heading2"/>
      </w:pPr>
      <w:r>
        <w:t xml:space="preserve">1. Leasing spreads are the primary operating catalyst</w:t>
      </w:r>
    </w:p>
    <w:p>
      <w:pPr>
        <w:pStyle w:val="FirstParagraph"/>
      </w:pPr>
      <w:r>
        <w:t xml:space="preserve">Camden entered Q2 from a weak pricing base:</w:t>
      </w:r>
    </w:p>
    <w:p>
      <w:pPr>
        <w:pStyle w:val="Compact"/>
        <w:numPr>
          <w:ilvl w:val="0"/>
          <w:numId w:val="1002"/>
        </w:numPr>
      </w:pPr>
      <w:r>
        <w:t xml:space="preserve">Q1 new-lease spreads:</w:t>
      </w:r>
      <w:r>
        <w:t xml:space="preserve"> </w:t>
      </w:r>
      <w:r>
        <w:rPr>
          <w:b/>
          <w:bCs/>
        </w:rPr>
        <w:t xml:space="preserve">-5.2%</w:t>
      </w:r>
    </w:p>
    <w:p>
      <w:pPr>
        <w:pStyle w:val="Compact"/>
        <w:numPr>
          <w:ilvl w:val="0"/>
          <w:numId w:val="1002"/>
        </w:numPr>
      </w:pPr>
      <w:r>
        <w:t xml:space="preserve">Renewal spreads:</w:t>
      </w:r>
      <w:r>
        <w:t xml:space="preserve"> </w:t>
      </w:r>
      <w:r>
        <w:rPr>
          <w:b/>
          <w:bCs/>
        </w:rPr>
        <w:t xml:space="preserve">+2.9%</w:t>
      </w:r>
    </w:p>
    <w:p>
      <w:pPr>
        <w:pStyle w:val="Compact"/>
        <w:numPr>
          <w:ilvl w:val="0"/>
          <w:numId w:val="1002"/>
        </w:numPr>
      </w:pPr>
      <w:r>
        <w:t xml:space="preserve">Blended spreads:</w:t>
      </w:r>
      <w:r>
        <w:t xml:space="preserve"> </w:t>
      </w:r>
      <w:r>
        <w:rPr>
          <w:b/>
          <w:bCs/>
        </w:rPr>
        <w:t xml:space="preserve">-1.4%</w:t>
      </w:r>
    </w:p>
    <w:p>
      <w:pPr>
        <w:pStyle w:val="Compact"/>
        <w:numPr>
          <w:ilvl w:val="0"/>
          <w:numId w:val="1002"/>
        </w:numPr>
      </w:pPr>
      <w:r>
        <w:t xml:space="preserve">Occupancy:</w:t>
      </w:r>
      <w:r>
        <w:t xml:space="preserve"> </w:t>
      </w:r>
      <w:r>
        <w:rPr>
          <w:b/>
          <w:bCs/>
        </w:rPr>
        <w:t xml:space="preserve">95.1%</w:t>
      </w:r>
    </w:p>
    <w:p>
      <w:pPr>
        <w:pStyle w:val="Compact"/>
        <w:numPr>
          <w:ilvl w:val="0"/>
          <w:numId w:val="1002"/>
        </w:numPr>
      </w:pPr>
      <w:r>
        <w:t xml:space="preserve">Same-property NOI growth:</w:t>
      </w:r>
      <w:r>
        <w:t xml:space="preserve"> </w:t>
      </w:r>
      <w:r>
        <w:rPr>
          <w:b/>
          <w:bCs/>
        </w:rPr>
        <w:t xml:space="preserve">-0.7%</w:t>
      </w:r>
    </w:p>
    <w:p>
      <w:pPr>
        <w:pStyle w:val="FirstParagraph"/>
      </w:pPr>
      <w:r>
        <w:t xml:space="preserve">Those figures made Camden’s promised second-half acceleration especially important. (</w:t>
      </w:r>
      <w:hyperlink r:id="rId14">
        <w:r>
          <w:rPr>
            <w:rStyle w:val="Hyperlink"/>
          </w:rPr>
          <w:t xml:space="preserve">investors.camdenliving.com</w:t>
        </w:r>
      </w:hyperlink>
      <w:r>
        <w:t xml:space="preserve">)</w:t>
      </w:r>
    </w:p>
    <w:p>
      <w:pPr>
        <w:pStyle w:val="BodyText"/>
      </w:pPr>
      <w:r>
        <w:t xml:space="preserve">There were encouraging early signs. April occupancy improved to approximately</w:t>
      </w:r>
      <w:r>
        <w:t xml:space="preserve"> </w:t>
      </w:r>
      <w:r>
        <w:rPr>
          <w:b/>
          <w:bCs/>
        </w:rPr>
        <w:t xml:space="preserve">95.4%</w:t>
      </w:r>
      <w:r>
        <w:t xml:space="preserve">, and blended spreads improved about</w:t>
      </w:r>
      <w:r>
        <w:t xml:space="preserve"> </w:t>
      </w:r>
      <w:r>
        <w:rPr>
          <w:b/>
          <w:bCs/>
        </w:rPr>
        <w:t xml:space="preserve">100 basis points sequentially</w:t>
      </w:r>
      <w:r>
        <w:t xml:space="preserve">, implying a result near -0.4%. Renewal offers for May through July were being sent at increases in the mid-3% range. Management also identified Atlanta, Dallas, Orlando, Nashville, Raleigh and Southeast Florida as markets showing “green shoots.” (</w:t>
      </w:r>
      <w:hyperlink r:id="rId12">
        <w:r>
          <w:rPr>
            <w:rStyle w:val="Hyperlink"/>
          </w:rPr>
          <w:t xml:space="preserve">s28.q4cdn.com</w:t>
        </w:r>
      </w:hyperlink>
      <w:r>
        <w:t xml:space="preserve">)</w:t>
      </w:r>
    </w:p>
    <w:bookmarkStart w:id="15" w:name="what-would-constitute-a-good-result"/>
    <w:p>
      <w:pPr>
        <w:pStyle w:val="Heading3"/>
      </w:pPr>
      <w:r>
        <w:t xml:space="preserve">What would constitute a good result?</w:t>
      </w:r>
    </w:p>
    <w:p>
      <w:pPr>
        <w:pStyle w:val="FirstParagraph"/>
      </w:pPr>
      <w:r>
        <w:t xml:space="preserve">A constructive report would show:</w:t>
      </w:r>
    </w:p>
    <w:p>
      <w:pPr>
        <w:pStyle w:val="Compact"/>
        <w:numPr>
          <w:ilvl w:val="0"/>
          <w:numId w:val="1003"/>
        </w:numPr>
      </w:pPr>
      <w:r>
        <w:t xml:space="preserve">Q2 blended spreads approaching or exceeding zero;</w:t>
      </w:r>
    </w:p>
    <w:p>
      <w:pPr>
        <w:pStyle w:val="Compact"/>
        <w:numPr>
          <w:ilvl w:val="0"/>
          <w:numId w:val="1003"/>
        </w:numPr>
      </w:pPr>
      <w:r>
        <w:t xml:space="preserve">June and July blended spreads firmly positive;</w:t>
      </w:r>
    </w:p>
    <w:p>
      <w:pPr>
        <w:pStyle w:val="Compact"/>
        <w:numPr>
          <w:ilvl w:val="0"/>
          <w:numId w:val="1003"/>
        </w:numPr>
      </w:pPr>
      <w:r>
        <w:t xml:space="preserve">occupancy holding near or above 95.4%;</w:t>
      </w:r>
    </w:p>
    <w:p>
      <w:pPr>
        <w:pStyle w:val="Compact"/>
        <w:numPr>
          <w:ilvl w:val="0"/>
          <w:numId w:val="1003"/>
        </w:numPr>
      </w:pPr>
      <w:r>
        <w:t xml:space="preserve">renewal growth remaining around 3%;</w:t>
      </w:r>
    </w:p>
    <w:p>
      <w:pPr>
        <w:pStyle w:val="Compact"/>
        <w:numPr>
          <w:ilvl w:val="0"/>
          <w:numId w:val="1003"/>
        </w:numPr>
      </w:pPr>
      <w:r>
        <w:t xml:space="preserve">narrowing new-lease declines; and</w:t>
      </w:r>
    </w:p>
    <w:p>
      <w:pPr>
        <w:pStyle w:val="Compact"/>
        <w:numPr>
          <w:ilvl w:val="0"/>
          <w:numId w:val="1003"/>
        </w:numPr>
      </w:pPr>
      <w:r>
        <w:t xml:space="preserve">reduced competitor concessions.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July update is arguably more important than the reported quarterly average</w:t>
      </w:r>
      <w:r>
        <w:t xml:space="preserve">. Q2 will still contain weaker April and early-season leases, while July should indicate whether the anticipated Q3 acceleration is actually occurring.</w:t>
      </w:r>
    </w:p>
    <w:p>
      <w:pPr>
        <w:pStyle w:val="BodyText"/>
      </w:pPr>
      <w:r>
        <w:t xml:space="preserve">Management said concessions were falling meaningfully as supply declined—by roughly 50% from peak levels in many Camden markets. Tomorrow’s report should test whether that improved competitive backdrop has translated into actual pricing power rather than simply better leasing traffic. (</w:t>
      </w:r>
      <w:hyperlink r:id="rId12">
        <w:r>
          <w:rPr>
            <w:rStyle w:val="Hyperlink"/>
          </w:rPr>
          <w:t xml:space="preserve">s28.q4cdn.com</w:t>
        </w:r>
      </w:hyperlink>
      <w:r>
        <w:t xml:space="preserve">)</w:t>
      </w:r>
    </w:p>
    <w:bookmarkEnd w:id="15"/>
    <w:bookmarkEnd w:id="16"/>
    <w:bookmarkStart w:id="19" w:name="Xeafaf776a645567eb36619cf9bda17d84d9cc60"/>
    <w:p>
      <w:pPr>
        <w:pStyle w:val="Heading2"/>
      </w:pPr>
      <w:r>
        <w:t xml:space="preserve">2. The California transaction may dominate the call</w:t>
      </w:r>
    </w:p>
    <w:p>
      <w:pPr>
        <w:pStyle w:val="FirstParagraph"/>
      </w:pPr>
      <w:r>
        <w:t xml:space="preserve">Camden has been marketing</w:t>
      </w:r>
      <w:r>
        <w:t xml:space="preserve"> </w:t>
      </w:r>
      <w:r>
        <w:rPr>
          <w:b/>
          <w:bCs/>
        </w:rPr>
        <w:t xml:space="preserve">11 Southern California communities</w:t>
      </w:r>
      <w:r>
        <w:t xml:space="preserve">, with earlier indications valuing the package at</w:t>
      </w:r>
      <w:r>
        <w:t xml:space="preserve"> </w:t>
      </w:r>
      <m:oMath>
        <m:r>
          <m:t>1.5</m:t>
        </m:r>
        <m:r>
          <m:rPr>
            <m:sty m:val="p"/>
          </m:rPr>
          <m:t>–</m:t>
        </m:r>
      </m:oMath>
      <w:r>
        <w:rPr>
          <w:b/>
          <w:bCs/>
        </w:rPr>
        <w:t xml:space="preserve">2.0 billion</w:t>
      </w:r>
      <w:r>
        <w:t xml:space="preserve"> </w:t>
      </w:r>
      <w:r>
        <w:t xml:space="preserve">and the company’s original plan assuming approximately</w:t>
      </w:r>
      <w:r>
        <w:t xml:space="preserve"> </w:t>
      </w:r>
      <w:r>
        <w:rPr>
          <w:b/>
          <w:bCs/>
        </w:rPr>
        <w:t xml:space="preserve">$1.75 billion</w:t>
      </w:r>
      <w:r>
        <w:t xml:space="preserve"> </w:t>
      </w:r>
      <w:r>
        <w:t xml:space="preserve">of proceeds. Roughly $1.1 billion was expected to be reinvested in Sunbelt acquisitions, with approximately $650 million allocated to share repurchases. (</w:t>
      </w:r>
      <w:hyperlink r:id="rId17">
        <w:r>
          <w:rPr>
            <w:rStyle w:val="Hyperlink"/>
          </w:rPr>
          <w:t xml:space="preserve">s28.q4cdn.com</w:t>
        </w:r>
      </w:hyperlink>
      <w:r>
        <w:t xml:space="preserve">)</w:t>
      </w:r>
    </w:p>
    <w:p>
      <w:pPr>
        <w:pStyle w:val="BodyText"/>
      </w:pPr>
      <w:r>
        <w:t xml:space="preserve">At the Q1 call, management said:</w:t>
      </w:r>
    </w:p>
    <w:p>
      <w:pPr>
        <w:pStyle w:val="Compact"/>
        <w:numPr>
          <w:ilvl w:val="0"/>
          <w:numId w:val="1004"/>
        </w:numPr>
      </w:pPr>
      <w:r>
        <w:t xml:space="preserve">more than 230 parties had signed confidentiality agreements;</w:t>
      </w:r>
    </w:p>
    <w:p>
      <w:pPr>
        <w:pStyle w:val="Compact"/>
        <w:numPr>
          <w:ilvl w:val="0"/>
          <w:numId w:val="1004"/>
        </w:numPr>
      </w:pPr>
      <w:r>
        <w:t xml:space="preserve">one buyer was conducting diligence on the entire portfolio;</w:t>
      </w:r>
    </w:p>
    <w:p>
      <w:pPr>
        <w:pStyle w:val="Compact"/>
        <w:numPr>
          <w:ilvl w:val="0"/>
          <w:numId w:val="1004"/>
        </w:numPr>
      </w:pPr>
      <w:r>
        <w:t xml:space="preserve">closing was anticipated around late June or early July;</w:t>
      </w:r>
    </w:p>
    <w:p>
      <w:pPr>
        <w:pStyle w:val="Compact"/>
        <w:numPr>
          <w:ilvl w:val="0"/>
          <w:numId w:val="1004"/>
        </w:numPr>
      </w:pPr>
      <w:r>
        <w:t xml:space="preserve">pricing was in line with expectations; and</w:t>
      </w:r>
    </w:p>
    <w:p>
      <w:pPr>
        <w:pStyle w:val="Compact"/>
        <w:numPr>
          <w:ilvl w:val="0"/>
          <w:numId w:val="1004"/>
        </w:numPr>
      </w:pPr>
      <w:r>
        <w:t xml:space="preserve">transaction timing could create meaningful variability in 2026 earnings. (</w:t>
      </w:r>
      <w:hyperlink r:id="rId12">
        <w:r>
          <w:rPr>
            <w:rStyle w:val="Hyperlink"/>
          </w:rPr>
          <w:t xml:space="preserve">s28.q4cdn.com</w:t>
        </w:r>
      </w:hyperlink>
      <w:r>
        <w:t xml:space="preserve">)</w:t>
      </w:r>
    </w:p>
    <w:p>
      <w:pPr>
        <w:pStyle w:val="FirstParagraph"/>
      </w:pPr>
      <w:r>
        <w:t xml:space="preserve">Investors should look for answers to four questions: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Has the portfolio sold, and at what price and cap rate?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How much of the acquisition pipeline is closed, under contract or merely awarded?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Will any gap between dispositions and acquisitions reduce second-half FFO?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Does the transaction remain earnings-neutral for 2026?</w:t>
      </w:r>
    </w:p>
    <w:p>
      <w:pPr>
        <w:pStyle w:val="FirstParagraph"/>
      </w:pPr>
      <w:r>
        <w:t xml:space="preserve">The company had already repurchased approximately</w:t>
      </w:r>
      <w:r>
        <w:t xml:space="preserve"> </w:t>
      </w:r>
      <w:r>
        <w:rPr>
          <w:b/>
          <w:bCs/>
        </w:rPr>
        <w:t xml:space="preserve">$693 million</w:t>
      </w:r>
      <w:r>
        <w:t xml:space="preserve"> </w:t>
      </w:r>
      <w:r>
        <w:t xml:space="preserve">across 2025 and early 2026 at an average price near $105, ahead of receiving the California proceeds. Management also said it had been awarded another $250 million of acquisitions and was approaching halfway toward its $1 billion acquisition goal. (</w:t>
      </w:r>
      <w:hyperlink r:id="rId12">
        <w:r>
          <w:rPr>
            <w:rStyle w:val="Hyperlink"/>
          </w:rPr>
          <w:t xml:space="preserve">s28.q4cdn.com</w:t>
        </w:r>
      </w:hyperlink>
      <w:r>
        <w:t xml:space="preserve">)</w:t>
      </w:r>
    </w:p>
    <w:p>
      <w:pPr>
        <w:pStyle w:val="BodyText"/>
      </w:pPr>
      <w:r>
        <w:t xml:space="preserve">Camden’s corporate profile listed</w:t>
      </w:r>
      <w:r>
        <w:t xml:space="preserve"> </w:t>
      </w:r>
      <w:r>
        <w:rPr>
          <w:b/>
          <w:bCs/>
        </w:rPr>
        <w:t xml:space="preserve">176 operating properties and 59,676 homes as of June 30</w:t>
      </w:r>
      <w:r>
        <w:t xml:space="preserve">, up from 173 properties and 58,811 homes in the June 1 operating update. That suggests acquisition activity continued during the quarter, but the earnings release must provide the transaction details and funding bridge. (</w:t>
      </w:r>
      <w:hyperlink r:id="rId18">
        <w:r>
          <w:rPr>
            <w:rStyle w:val="Hyperlink"/>
          </w:rPr>
          <w:t xml:space="preserve">investors.camdenliving.com</w:t>
        </w:r>
      </w:hyperlink>
      <w:r>
        <w:t xml:space="preserve">)</w:t>
      </w:r>
    </w:p>
    <w:bookmarkEnd w:id="19"/>
    <w:bookmarkStart w:id="20" w:name="X7406a170d70c7a6dd2109071b3ce87fb281d7f0"/>
    <w:p>
      <w:pPr>
        <w:pStyle w:val="Heading2"/>
      </w:pPr>
      <w:r>
        <w:t xml:space="preserve">3. Full-year guidance is the real earnings test</w:t>
      </w:r>
    </w:p>
    <w:p>
      <w:pPr>
        <w:pStyle w:val="FirstParagraph"/>
      </w:pPr>
      <w:r>
        <w:t xml:space="preserve">The company’s June 1 update said Q2 trends remained in line with its existing guidance and expectations. That lowers the probability of a material quarterly miss, but it does not resolve the larger debate around second-half growth. (</w:t>
      </w:r>
      <w:hyperlink r:id="rId18">
        <w:r>
          <w:rPr>
            <w:rStyle w:val="Hyperlink"/>
          </w:rPr>
          <w:t xml:space="preserve">investors.camdenliving.com</w:t>
        </w:r>
      </w:hyperlink>
      <w:r>
        <w:t xml:space="preserve">)</w:t>
      </w:r>
    </w:p>
    <w:p>
      <w:pPr>
        <w:pStyle w:val="BodyText"/>
      </w:pPr>
      <w:r>
        <w:t xml:space="preserve">Assuming Q2 Core FFO lands at the</w:t>
      </w:r>
      <w:r>
        <w:t xml:space="preserve"> </w:t>
      </w:r>
      <m:oMath>
        <m:r>
          <m:t>1.67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,</m:t>
        </m:r>
        <m:r>
          <m:t>C</m:t>
        </m:r>
        <m:r>
          <m:t>a</m:t>
        </m:r>
        <m:r>
          <m:t>m</m:t>
        </m:r>
        <m:r>
          <m:t>d</m:t>
        </m:r>
        <m:r>
          <m:t>e</m:t>
        </m:r>
        <m:r>
          <m:t>n</m:t>
        </m:r>
        <m:r>
          <m:t>w</m:t>
        </m:r>
        <m:r>
          <m:t>i</m:t>
        </m:r>
        <m:r>
          <m:t>l</m:t>
        </m:r>
        <m:r>
          <m:t>l</m:t>
        </m:r>
        <m:r>
          <m:t>h</m:t>
        </m:r>
        <m:r>
          <m:t>a</m:t>
        </m:r>
        <m:r>
          <m:t>v</m:t>
        </m:r>
        <m:r>
          <m:t>e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3.37 per share in the first half**. Reaching the</w:t>
      </w:r>
      <w:r>
        <w:t xml:space="preserve"> </w:t>
      </w:r>
      <m:oMath>
        <m:r>
          <m:t>6.75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t</m:t>
        </m:r>
        <m:r>
          <m:t>h</m:t>
        </m:r>
        <m:r>
          <m:t>e</m:t>
        </m:r>
        <m:r>
          <m:t>n</m:t>
        </m:r>
        <m:r>
          <m:t>r</m:t>
        </m:r>
        <m:r>
          <m:t>e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3.38 in the second half**, or an average of $1.69 per quarter. That is achievable, but it assumes the leasing recovery and transaction plan remain on schedule.</w:t>
      </w:r>
    </w:p>
    <w:p>
      <w:pPr>
        <w:pStyle w:val="BodyText"/>
      </w:pPr>
      <w:r>
        <w:t xml:space="preserve">Management previously forecast a strong Q3 followed by an unusually healthy Q4 as supply pressure declined. Accordingly: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Maintaining $6.75 with improving July spreads</w:t>
      </w:r>
      <w:r>
        <w:t xml:space="preserve"> </w:t>
      </w:r>
      <w:r>
        <w:t xml:space="preserve">would be credible and constructive.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Maintaining guidance but pushing the leasing inflection into late Q3 or Q4</w:t>
      </w:r>
      <w:r>
        <w:t xml:space="preserve"> </w:t>
      </w:r>
      <w:r>
        <w:t xml:space="preserve">would probably be viewed skeptically.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Lowering the midpoint toward the $6.65 consensus</w:t>
      </w:r>
      <w:r>
        <w:t xml:space="preserve"> </w:t>
      </w:r>
      <w:r>
        <w:t xml:space="preserve">would indicate that transaction timing or operating improvement has fallen short.</w:t>
      </w:r>
    </w:p>
    <w:p>
      <w:pPr>
        <w:pStyle w:val="Compact"/>
        <w:numPr>
          <w:ilvl w:val="0"/>
          <w:numId w:val="1006"/>
        </w:numPr>
      </w:pPr>
      <w:r>
        <w:t xml:space="preserve">A guidance increase would likely require continued expense or bad-debt upside, faster acquisition deployment or a more pronounced pricing recovery.</w:t>
      </w:r>
    </w:p>
    <w:bookmarkEnd w:id="20"/>
    <w:bookmarkStart w:id="21" w:name="Xbede67685e71bf0abe7e80cc06e701a2533367c"/>
    <w:p>
      <w:pPr>
        <w:pStyle w:val="Heading2"/>
      </w:pPr>
      <w:r>
        <w:t xml:space="preserve">4. Bad debt and expenses offer possible upside—but Q1 set a cautious precedent</w:t>
      </w:r>
    </w:p>
    <w:p>
      <w:pPr>
        <w:pStyle w:val="FirstParagraph"/>
      </w:pPr>
      <w:r>
        <w:t xml:space="preserve">Q1 Core FFO beat guidance by $0.04, but only $0.01 came from better property revenue. Another $0.02 reflected expense timing, while $0.01 came from fee income recognized earlier than planned. Management explicitly declined to extrapolate the expense and bad-debt benefits through the full year. (</w:t>
      </w:r>
      <w:hyperlink r:id="rId12">
        <w:r>
          <w:rPr>
            <w:rStyle w:val="Hyperlink"/>
          </w:rPr>
          <w:t xml:space="preserve">s28.q4cdn.com</w:t>
        </w:r>
      </w:hyperlink>
      <w:r>
        <w:t xml:space="preserve">)</w:t>
      </w:r>
    </w:p>
    <w:p>
      <w:pPr>
        <w:pStyle w:val="BodyText"/>
      </w:pPr>
      <w:r>
        <w:t xml:space="preserve">The relevant questions for Q2 are:</w:t>
      </w:r>
    </w:p>
    <w:p>
      <w:pPr>
        <w:pStyle w:val="Compact"/>
        <w:numPr>
          <w:ilvl w:val="0"/>
          <w:numId w:val="1007"/>
        </w:numPr>
      </w:pPr>
      <w:r>
        <w:t xml:space="preserve">Did bad debt remain below normal levels after falling below 40 basis points in Q1?</w:t>
      </w:r>
    </w:p>
    <w:p>
      <w:pPr>
        <w:pStyle w:val="Compact"/>
        <w:numPr>
          <w:ilvl w:val="0"/>
          <w:numId w:val="1007"/>
        </w:numPr>
      </w:pPr>
      <w:r>
        <w:t xml:space="preserve">Were Q1 expense savings merely reversed in Q2?</w:t>
      </w:r>
    </w:p>
    <w:p>
      <w:pPr>
        <w:pStyle w:val="Compact"/>
        <w:numPr>
          <w:ilvl w:val="0"/>
          <w:numId w:val="1007"/>
        </w:numPr>
      </w:pPr>
      <w:r>
        <w:t xml:space="preserve">Are insurance and property-tax trends improving enough to offset labor and repair costs?</w:t>
      </w:r>
    </w:p>
    <w:p>
      <w:pPr>
        <w:pStyle w:val="Compact"/>
        <w:numPr>
          <w:ilvl w:val="0"/>
          <w:numId w:val="1007"/>
        </w:numPr>
      </w:pPr>
      <w:r>
        <w:t xml:space="preserve">Can Camden hold full-year expense growth near 3%?</w:t>
      </w:r>
    </w:p>
    <w:p>
      <w:pPr>
        <w:pStyle w:val="FirstParagraph"/>
      </w:pPr>
      <w:r>
        <w:t xml:space="preserve">A small FFO beat driven entirely by timing would be low quality. A beat accompanied by sustainable bad-debt improvement or lower full-year expense assumptions would be more meaningful.</w:t>
      </w:r>
    </w:p>
    <w:bookmarkEnd w:id="21"/>
    <w:bookmarkStart w:id="22" w:name="X3d53ade8d9127d63b441fed5f0e677684310f04"/>
    <w:p>
      <w:pPr>
        <w:pStyle w:val="Heading2"/>
      </w:pPr>
      <w:r>
        <w:t xml:space="preserve">5. Development and acquisition execution</w:t>
      </w:r>
    </w:p>
    <w:p>
      <w:pPr>
        <w:pStyle w:val="FirstParagraph"/>
      </w:pPr>
      <w:r>
        <w:t xml:space="preserve">At Q1, Camden had three active construction projects totaling</w:t>
      </w:r>
      <w:r>
        <w:t xml:space="preserve"> </w:t>
      </w:r>
      <w:r>
        <w:rPr>
          <w:b/>
          <w:bCs/>
        </w:rPr>
        <w:t xml:space="preserve">1,162 homes and approximately $492 million of estimated cost</w:t>
      </w:r>
      <w:r>
        <w:t xml:space="preserve">, plus Camden Village District in lease-up. Village District was 72% leased at the end of April and had improved to 77% by late May. (</w:t>
      </w:r>
      <w:hyperlink r:id="rId14">
        <w:r>
          <w:rPr>
            <w:rStyle w:val="Hyperlink"/>
          </w:rPr>
          <w:t xml:space="preserve">investors.camdenliving.com</w:t>
        </w:r>
      </w:hyperlink>
      <w:r>
        <w:t xml:space="preserve">)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08"/>
        </w:numPr>
      </w:pPr>
      <w:r>
        <w:t xml:space="preserve">lease-up velocity and concessions at Village District;</w:t>
      </w:r>
    </w:p>
    <w:p>
      <w:pPr>
        <w:pStyle w:val="Compact"/>
        <w:numPr>
          <w:ilvl w:val="0"/>
          <w:numId w:val="1008"/>
        </w:numPr>
      </w:pPr>
      <w:r>
        <w:t xml:space="preserve">construction cost and delivery changes at South Charlotte, Blakeney and Nations;</w:t>
      </w:r>
    </w:p>
    <w:p>
      <w:pPr>
        <w:pStyle w:val="Compact"/>
        <w:numPr>
          <w:ilvl w:val="0"/>
          <w:numId w:val="1008"/>
        </w:numPr>
      </w:pPr>
      <w:r>
        <w:t xml:space="preserve">initial yields on the recent acquisitions;</w:t>
      </w:r>
    </w:p>
    <w:p>
      <w:pPr>
        <w:pStyle w:val="Compact"/>
        <w:numPr>
          <w:ilvl w:val="0"/>
          <w:numId w:val="1008"/>
        </w:numPr>
      </w:pPr>
      <w:r>
        <w:t xml:space="preserve">whether Camden Baker in Denver remains deferred; and</w:t>
      </w:r>
    </w:p>
    <w:p>
      <w:pPr>
        <w:pStyle w:val="Compact"/>
        <w:numPr>
          <w:ilvl w:val="0"/>
          <w:numId w:val="1008"/>
        </w:numPr>
      </w:pPr>
      <w:r>
        <w:t xml:space="preserve">the spread between acquisition cap rates and Camden’s implied cost of capital.</w:t>
      </w:r>
    </w:p>
    <w:p>
      <w:pPr>
        <w:pStyle w:val="FirstParagraph"/>
      </w:pPr>
      <w:r>
        <w:t xml:space="preserve">Management has been finding newer Sunbelt assets at cap rates around 4.5%–5%, often below replacement cost. The strategic rationale is sensible, but transaction timing and initial earnings dilution remain important given current interest rates.</w:t>
      </w:r>
    </w:p>
    <w:bookmarkEnd w:id="22"/>
    <w:bookmarkStart w:id="26" w:name="scenario-framework"/>
    <w:p>
      <w:pPr>
        <w:pStyle w:val="Heading2"/>
      </w:pPr>
      <w:r>
        <w:t xml:space="preserve">Scenario framework</w:t>
      </w:r>
    </w:p>
    <w:bookmarkStart w:id="23" w:name="bullish"/>
    <w:p>
      <w:pPr>
        <w:pStyle w:val="Heading3"/>
      </w:pPr>
      <w:r>
        <w:t xml:space="preserve">Bullish</w:t>
      </w:r>
    </w:p>
    <w:p>
      <w:pPr>
        <w:pStyle w:val="Compact"/>
        <w:numPr>
          <w:ilvl w:val="0"/>
          <w:numId w:val="1009"/>
        </w:numPr>
      </w:pPr>
      <w:r>
        <w:t xml:space="preserve">Core FFO at or above</w:t>
      </w:r>
      <w:r>
        <w:t xml:space="preserve"> </w:t>
      </w:r>
      <w:r>
        <w:rPr>
          <w:b/>
          <w:bCs/>
        </w:rPr>
        <w:t xml:space="preserve">$1.69</w:t>
      </w:r>
    </w:p>
    <w:p>
      <w:pPr>
        <w:pStyle w:val="Compact"/>
        <w:numPr>
          <w:ilvl w:val="0"/>
          <w:numId w:val="1009"/>
        </w:numPr>
      </w:pPr>
      <w:r>
        <w:t xml:space="preserve">Q2 blends near zero and July clearly positive</w:t>
      </w:r>
    </w:p>
    <w:p>
      <w:pPr>
        <w:pStyle w:val="Compact"/>
        <w:numPr>
          <w:ilvl w:val="0"/>
          <w:numId w:val="1009"/>
        </w:numPr>
      </w:pPr>
      <w:r>
        <w:t xml:space="preserve">Occupancy at least around 95.4%–95.5%</w:t>
      </w:r>
    </w:p>
    <w:p>
      <w:pPr>
        <w:pStyle w:val="Compact"/>
        <w:numPr>
          <w:ilvl w:val="0"/>
          <w:numId w:val="1009"/>
        </w:numPr>
      </w:pPr>
      <w:r>
        <w:t xml:space="preserve">California sale completed near expected valuation</w:t>
      </w:r>
    </w:p>
    <w:p>
      <w:pPr>
        <w:pStyle w:val="Compact"/>
        <w:numPr>
          <w:ilvl w:val="0"/>
          <w:numId w:val="1009"/>
        </w:numPr>
      </w:pPr>
      <w:r>
        <w:t xml:space="preserve">Most 1031 capital already deployed or under contract</w:t>
      </w:r>
    </w:p>
    <w:p>
      <w:pPr>
        <w:pStyle w:val="Compact"/>
        <w:numPr>
          <w:ilvl w:val="0"/>
          <w:numId w:val="1009"/>
        </w:numPr>
      </w:pPr>
      <w:r>
        <w:t xml:space="preserve">$6.75 guidance maintained or raised</w:t>
      </w:r>
    </w:p>
    <w:bookmarkEnd w:id="23"/>
    <w:bookmarkStart w:id="24" w:name="neutral"/>
    <w:p>
      <w:pPr>
        <w:pStyle w:val="Heading3"/>
      </w:pPr>
      <w:r>
        <w:t xml:space="preserve">Neutral</w:t>
      </w:r>
    </w:p>
    <w:p>
      <w:pPr>
        <w:pStyle w:val="Compact"/>
        <w:numPr>
          <w:ilvl w:val="0"/>
          <w:numId w:val="1010"/>
        </w:numPr>
      </w:pPr>
      <w:r>
        <w:t xml:space="preserve">Core FFO of</w:t>
      </w:r>
      <w:r>
        <w:t xml:space="preserve"> </w:t>
      </w:r>
      <m:oMath>
        <m:r>
          <m:t>1.66</m:t>
        </m:r>
        <m:r>
          <m:rPr>
            <m:sty m:val="p"/>
          </m:rPr>
          <m:t>–</m:t>
        </m:r>
      </m:oMath>
      <w:r>
        <w:rPr>
          <w:b/>
          <w:bCs/>
        </w:rPr>
        <w:t xml:space="preserve">1.68</w:t>
      </w:r>
    </w:p>
    <w:p>
      <w:pPr>
        <w:pStyle w:val="Compact"/>
        <w:numPr>
          <w:ilvl w:val="0"/>
          <w:numId w:val="1010"/>
        </w:numPr>
      </w:pPr>
      <w:r>
        <w:t xml:space="preserve">Blends remain modestly negative but improve sequentially</w:t>
      </w:r>
    </w:p>
    <w:p>
      <w:pPr>
        <w:pStyle w:val="Compact"/>
        <w:numPr>
          <w:ilvl w:val="0"/>
          <w:numId w:val="1010"/>
        </w:numPr>
      </w:pPr>
      <w:r>
        <w:t xml:space="preserve">July shows progress without a sharp acceleration</w:t>
      </w:r>
    </w:p>
    <w:p>
      <w:pPr>
        <w:pStyle w:val="Compact"/>
        <w:numPr>
          <w:ilvl w:val="0"/>
          <w:numId w:val="1010"/>
        </w:numPr>
      </w:pPr>
      <w:r>
        <w:t xml:space="preserve">California transaction is delayed but still expected to close</w:t>
      </w:r>
    </w:p>
    <w:p>
      <w:pPr>
        <w:pStyle w:val="Compact"/>
        <w:numPr>
          <w:ilvl w:val="0"/>
          <w:numId w:val="1010"/>
        </w:numPr>
      </w:pPr>
      <w:r>
        <w:t xml:space="preserve">Full-year guidance is maintained</w:t>
      </w:r>
    </w:p>
    <w:bookmarkEnd w:id="24"/>
    <w:bookmarkStart w:id="25" w:name="bearish"/>
    <w:p>
      <w:pPr>
        <w:pStyle w:val="Heading3"/>
      </w:pPr>
      <w:r>
        <w:t xml:space="preserve">Bearish</w:t>
      </w:r>
    </w:p>
    <w:p>
      <w:pPr>
        <w:pStyle w:val="Compact"/>
        <w:numPr>
          <w:ilvl w:val="0"/>
          <w:numId w:val="1011"/>
        </w:numPr>
      </w:pPr>
      <w:r>
        <w:t xml:space="preserve">Core FFO below</w:t>
      </w:r>
      <w:r>
        <w:t xml:space="preserve"> </w:t>
      </w:r>
      <w:r>
        <w:rPr>
          <w:b/>
          <w:bCs/>
        </w:rPr>
        <w:t xml:space="preserve">$1.65</w:t>
      </w:r>
    </w:p>
    <w:p>
      <w:pPr>
        <w:pStyle w:val="Compact"/>
        <w:numPr>
          <w:ilvl w:val="0"/>
          <w:numId w:val="1011"/>
        </w:numPr>
      </w:pPr>
      <w:r>
        <w:t xml:space="preserve">New-lease and blended spreads show limited sequential improvement</w:t>
      </w:r>
    </w:p>
    <w:p>
      <w:pPr>
        <w:pStyle w:val="Compact"/>
        <w:numPr>
          <w:ilvl w:val="0"/>
          <w:numId w:val="1011"/>
        </w:numPr>
      </w:pPr>
      <w:r>
        <w:t xml:space="preserve">Occupancy falls toward or below Q1 levels</w:t>
      </w:r>
    </w:p>
    <w:p>
      <w:pPr>
        <w:pStyle w:val="Compact"/>
        <w:numPr>
          <w:ilvl w:val="0"/>
          <w:numId w:val="1011"/>
        </w:numPr>
      </w:pPr>
      <w:r>
        <w:t xml:space="preserve">California sale or acquisition redeployment slips materially</w:t>
      </w:r>
    </w:p>
    <w:p>
      <w:pPr>
        <w:pStyle w:val="Compact"/>
        <w:numPr>
          <w:ilvl w:val="0"/>
          <w:numId w:val="1011"/>
        </w:numPr>
      </w:pPr>
      <w:r>
        <w:t xml:space="preserve">Full-year Core FFO or same-property revenue guidance is reduced</w:t>
      </w:r>
    </w:p>
    <w:bookmarkEnd w:id="25"/>
    <w:bookmarkEnd w:id="26"/>
    <w:bookmarkStart w:id="2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reported Q2 FFO figure is unlikely to determine the stock’s direction by itself.</w:t>
      </w:r>
      <w:r>
        <w:t xml:space="preserve"> </w:t>
      </w:r>
      <w:r>
        <w:t xml:space="preserve">The key issue is whether Camden can demonstrate that its long-promised Sunbelt operating recovery has moved from forecast to evidence.</w:t>
      </w:r>
    </w:p>
    <w:p>
      <w:pPr>
        <w:pStyle w:val="BodyText"/>
      </w:pPr>
      <w:r>
        <w:t xml:space="preserve">The cleanest positive combination would be</w:t>
      </w:r>
      <w:r>
        <w:t xml:space="preserve"> </w:t>
      </w:r>
      <w:r>
        <w:rPr>
          <w:b/>
          <w:bCs/>
        </w:rPr>
        <w:t xml:space="preserve">positive July blended spreads, stable occupancy, a completed California sale and confidence in the $6.75 full-year Core FFO midpoint</w:t>
      </w:r>
      <w:r>
        <w:t xml:space="preserve">. Conversely, another delay in the leasing inflection—or ambiguity around the California transaction—would make the current valuation harder to support, even if quarterly Core FFO nominally beats consensus.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https://investors.camdenliving.com/investors/news-events-presentations/news/news-details/2026/Camden-Property-Trust-Announces-First-Quarter-2026-Operating-Results/default.aspx" TargetMode="External" /><Relationship Type="http://schemas.openxmlformats.org/officeDocument/2006/relationships/hyperlink" Id="rId18" Target="https://investors.camdenliving.com/investors/news-events-presentations/news/news-details/2026/Camden-Property-Trust-Announces-Participation-in-Nareit-REITweek-Conference-and-Provides-Second-Quarter-2026-Operating-Update/default.aspx" TargetMode="External" /><Relationship Type="http://schemas.openxmlformats.org/officeDocument/2006/relationships/hyperlink" Id="rId9" Target="https://investors.camdenliving.com/investors/news-events-presentations/news/news-details/2026/Camden-Property-Trust-Announces-Second-Quarter-2026-Earnings-Release-and-Conference-Call-Dates/default.aspx?utm_source=openai" TargetMode="External" /><Relationship Type="http://schemas.openxmlformats.org/officeDocument/2006/relationships/hyperlink" Id="rId17" Target="https://s28.q4cdn.com/425223795/files/doc_financials/2025/q4/030226-February-Investor-Presentation-final.pdf?utm_source=openai" TargetMode="External" /><Relationship Type="http://schemas.openxmlformats.org/officeDocument/2006/relationships/hyperlink" Id="rId12" Target="https://s28.q4cdn.com/425223795/files/doc_financials/2026/q1/1Q26-CPT-Transcript-Final.pdf" TargetMode="External" /><Relationship Type="http://schemas.openxmlformats.org/officeDocument/2006/relationships/hyperlink" Id="rId11" Target="https://www.barchart.com/stocks/quotes/cpt/earnings-estima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investors.camdenliving.com/investors/news-events-presentations/news/news-details/2026/Camden-Property-Trust-Announces-First-Quarter-2026-Operating-Results/default.aspx" TargetMode="External" /><Relationship Type="http://schemas.openxmlformats.org/officeDocument/2006/relationships/hyperlink" Id="rId18" Target="https://investors.camdenliving.com/investors/news-events-presentations/news/news-details/2026/Camden-Property-Trust-Announces-Participation-in-Nareit-REITweek-Conference-and-Provides-Second-Quarter-2026-Operating-Update/default.aspx" TargetMode="External" /><Relationship Type="http://schemas.openxmlformats.org/officeDocument/2006/relationships/hyperlink" Id="rId9" Target="https://investors.camdenliving.com/investors/news-events-presentations/news/news-details/2026/Camden-Property-Trust-Announces-Second-Quarter-2026-Earnings-Release-and-Conference-Call-Dates/default.aspx?utm_source=openai" TargetMode="External" /><Relationship Type="http://schemas.openxmlformats.org/officeDocument/2006/relationships/hyperlink" Id="rId17" Target="https://s28.q4cdn.com/425223795/files/doc_financials/2025/q4/030226-February-Investor-Presentation-final.pdf?utm_source=openai" TargetMode="External" /><Relationship Type="http://schemas.openxmlformats.org/officeDocument/2006/relationships/hyperlink" Id="rId12" Target="https://s28.q4cdn.com/425223795/files/doc_financials/2026/q1/1Q26-CPT-Transcript-Final.pdf" TargetMode="External" /><Relationship Type="http://schemas.openxmlformats.org/officeDocument/2006/relationships/hyperlink" Id="rId11" Target="https://www.barchart.com/stocks/quotes/cpt/earnings-estima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2026-07-29T19:44:32Z</dcterms:created>
  <dcterms:modified xsi:type="dcterms:W3CDTF">2026-07-29T19:44:32Z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