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be223ce4ef93400e58cf2c2e40da539c508e901"/>
    <w:p>
      <w:pPr>
        <w:pStyle w:val="Heading1"/>
      </w:pPr>
      <w:r>
        <w:t xml:space="preserve">Camden Property Trust (NYSE: CPT) — 2Q26 Earnings Preview</w:t>
      </w:r>
    </w:p>
    <w:p>
      <w:pPr>
        <w:pStyle w:val="FirstParagraph"/>
      </w:pPr>
      <w:r>
        <w:rPr>
          <w:b/>
          <w:bCs/>
        </w:rPr>
        <w:t xml:space="preserve">Report timing:</w:t>
      </w:r>
      <w:r>
        <w:t xml:space="preserve"> </w:t>
      </w:r>
      <w:r>
        <w:t xml:space="preserve">Camden is scheduled to release 2Q26 results</w:t>
      </w:r>
      <w:r>
        <w:t xml:space="preserve"> </w:t>
      </w:r>
      <w:r>
        <w:rPr>
          <w:b/>
          <w:bCs/>
        </w:rPr>
        <w:t xml:space="preserve">after the market close on Thursday, July 30, 2026</w:t>
      </w:r>
      <w:r>
        <w:t xml:space="preserve">. Its earnings call is scheduled for</w:t>
      </w:r>
      <w:r>
        <w:t xml:space="preserve"> </w:t>
      </w:r>
      <w:r>
        <w:rPr>
          <w:b/>
          <w:bCs/>
        </w:rPr>
        <w:t xml:space="preserve">Friday, July 31 at 10:00 a.m. Central Time</w:t>
      </w:r>
      <w:r>
        <w:t xml:space="preserve">.</w:t>
      </w:r>
    </w:p>
    <w:bookmarkStart w:id="9" w:name="bottom-line"/>
    <w:p>
      <w:pPr>
        <w:pStyle w:val="Heading2"/>
      </w:pPr>
      <w:r>
        <w:t xml:space="preserve">Bottom line</w:t>
      </w:r>
    </w:p>
    <w:p>
      <w:pPr>
        <w:pStyle w:val="FirstParagraph"/>
      </w:pPr>
      <w:r>
        <w:t xml:space="preserve">CPT enters earnings with a relatively clear near-term setup:</w:t>
      </w:r>
      <w:r>
        <w:t xml:space="preserve"> </w:t>
      </w:r>
      <w:r>
        <w:rPr>
          <w:b/>
          <w:bCs/>
        </w:rPr>
        <w:t xml:space="preserve">results should be judged less on the headline Core FFO number and more on evidence that Sunbelt apartment fundamentals are inflecting as supply pressure recedes.</w:t>
      </w:r>
      <w:r>
        <w:t xml:space="preserve"> </w:t>
      </w:r>
      <w:r>
        <w:t xml:space="preserve">Management’s June operating update said 2Q trends remained in line with the company’s prior outlook, which lowers the odds of a major operational surprise. The more important question is whether July leasing data validates management’s expectation for a stronger 3Q and an atypically healthy 4Q.</w:t>
      </w:r>
    </w:p>
    <w:p>
      <w:pPr>
        <w:pStyle w:val="BodyText"/>
      </w:pPr>
      <w:r>
        <w:t xml:space="preserve">The other pivotal issue is capital allocation. Investors will want an explicit update on the proposed sale of 11 California communities and the associated redeployment program—acquisitions, 1031 exchanges, potential buybacks, leverage, and any risk of taxable gains/special distributions. The transaction has the potential to reshape CPT’s market mix and near-term earnings cadence.</w:t>
      </w:r>
    </w:p>
    <w:p>
      <w:r>
        <w:pict>
          <v:rect style="width:0;height:1.5pt" o:hralign="center" o:hrstd="t" o:hr="t"/>
        </w:pict>
      </w:r>
    </w:p>
    <w:bookmarkEnd w:id="9"/>
    <w:bookmarkStart w:id="10" w:name="what-cpt-has-guided-to"/>
    <w:p>
      <w:pPr>
        <w:pStyle w:val="Heading2"/>
      </w:pPr>
      <w:r>
        <w:t xml:space="preserve">What CPT has guided to</w:t>
      </w:r>
    </w:p>
    <w:p>
      <w:pPr>
        <w:pStyle w:val="FirstParagraph"/>
      </w:pPr>
      <w:r>
        <w:t xml:space="preserve">For 2Q26, CPT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guidance</w:t>
            </w:r>
          </w:p>
        </w:tc>
      </w:tr>
      <w:tr>
        <w:tc>
          <w:tcPr/>
          <w:p>
            <w:pPr>
              <w:pStyle w:val="Compact"/>
            </w:pPr>
            <w:r>
              <w:t xml:space="preserve">EPS</w:t>
            </w:r>
          </w:p>
        </w:tc>
        <w:tc>
          <w:tcPr/>
          <w:p>
            <w:pPr>
              <w:pStyle w:val="Compact"/>
              <w:jc w:val="right"/>
            </w:pPr>
            <m:oMath>
              <m:r>
                <m:t>0.13</m:t>
              </m:r>
              <m:r>
                <m:rPr>
                  <m:sty m:val="p"/>
                </m:rPr>
                <m:t>–</m:t>
              </m:r>
            </m:oMath>
            <w:r>
              <w:rPr>
                <w:b/>
                <w:bCs/>
              </w:rPr>
              <w:t xml:space="preserve">0.17</w:t>
            </w:r>
          </w:p>
        </w:tc>
      </w:tr>
      <w:tr>
        <w:tc>
          <w:tcPr/>
          <w:p>
            <w:pPr>
              <w:pStyle w:val="Compact"/>
            </w:pPr>
            <w:r>
              <w:t xml:space="preserve">FFO per share</w:t>
            </w:r>
          </w:p>
        </w:tc>
        <w:tc>
          <w:tcPr/>
          <w:p>
            <w:pPr>
              <w:pStyle w:val="Compact"/>
              <w:jc w:val="right"/>
            </w:pPr>
            <m:oMath>
              <m:r>
                <m:t>1.63</m:t>
              </m:r>
              <m:r>
                <m:rPr>
                  <m:sty m:val="p"/>
                </m:rPr>
                <m:t>–</m:t>
              </m:r>
            </m:oMath>
            <w:r>
              <w:rPr>
                <w:b/>
                <w:bCs/>
              </w:rPr>
              <w:t xml:space="preserve">1.67</w:t>
            </w:r>
          </w:p>
        </w:tc>
      </w:tr>
      <w:tr>
        <w:tc>
          <w:tcPr/>
          <w:p>
            <w:pPr>
              <w:pStyle w:val="Compact"/>
            </w:pPr>
            <w:r>
              <w:rPr>
                <w:b/>
                <w:bCs/>
              </w:rPr>
              <w:t xml:space="preserve">Core FFO per share</w:t>
            </w:r>
          </w:p>
        </w:tc>
        <w:tc>
          <w:tcPr/>
          <w:p>
            <w:pPr>
              <w:pStyle w:val="Compact"/>
              <w:jc w:val="right"/>
            </w:pPr>
            <m:oMath>
              <m:r>
                <m:t>1.65</m:t>
              </m:r>
              <m:r>
                <m:rPr>
                  <m:sty m:val="p"/>
                </m:rPr>
                <m:t>–</m:t>
              </m:r>
            </m:oMath>
            <w:r>
              <w:rPr>
                <w:b/>
                <w:bCs/>
              </w:rPr>
              <w:t xml:space="preserve">1.69</w:t>
            </w:r>
          </w:p>
        </w:tc>
      </w:tr>
    </w:tbl>
    <w:p>
      <w:pPr>
        <w:pStyle w:val="BodyText"/>
      </w:pPr>
      <w:r>
        <w:t xml:space="preserve">The</w:t>
      </w:r>
      <w:r>
        <w:t xml:space="preserve"> </w:t>
      </w:r>
      <m:oMath>
        <m:r>
          <m:t>1.67</m:t>
        </m:r>
        <m:r>
          <m:t>C</m:t>
        </m:r>
        <m:r>
          <m:t>o</m:t>
        </m:r>
        <m:r>
          <m:t>r</m:t>
        </m:r>
        <m:r>
          <m:t>e</m:t>
        </m:r>
        <m:r>
          <m:t>F</m:t>
        </m:r>
        <m:r>
          <m:t>F</m:t>
        </m:r>
        <m:r>
          <m:t>O</m:t>
        </m:r>
        <m:r>
          <m:t>m</m:t>
        </m:r>
        <m:r>
          <m:t>i</m:t>
        </m:r>
        <m:r>
          <m:t>d</m:t>
        </m:r>
        <m:r>
          <m:t>p</m:t>
        </m:r>
        <m:r>
          <m:t>o</m:t>
        </m:r>
        <m:r>
          <m:t>i</m:t>
        </m:r>
        <m:r>
          <m:t>n</m:t>
        </m:r>
        <m:r>
          <m:t>t</m:t>
        </m:r>
        <m:r>
          <m:rPr>
            <m:sty m:val="p"/>
          </m:rPr>
          <m:t>*</m:t>
        </m:r>
        <m:r>
          <m:rPr>
            <m:sty m:val="p"/>
          </m:rPr>
          <m:t>*</m:t>
        </m:r>
        <m:r>
          <m:t>i</m:t>
        </m:r>
        <m:r>
          <m:t>m</m:t>
        </m:r>
        <m:r>
          <m:t>p</m:t>
        </m:r>
        <m:r>
          <m:t>l</m:t>
        </m:r>
        <m:r>
          <m:t>i</m:t>
        </m:r>
        <m:r>
          <m:t>e</m:t>
        </m:r>
        <m:r>
          <m:t>s</m:t>
        </m:r>
        <m:r>
          <m:t>a</m:t>
        </m:r>
        <m:r>
          <m:t>m</m:t>
        </m:r>
        <m:r>
          <m:t>o</m:t>
        </m:r>
        <m:r>
          <m:t>d</m:t>
        </m:r>
        <m:r>
          <m:t>e</m:t>
        </m:r>
        <m:r>
          <m:t>s</m:t>
        </m:r>
        <m:r>
          <m:t>t</m:t>
        </m:r>
        <m:r>
          <m:t>d</m:t>
        </m:r>
        <m:r>
          <m:t>e</m:t>
        </m:r>
        <m:r>
          <m:t>c</m:t>
        </m:r>
        <m:r>
          <m:t>l</m:t>
        </m:r>
        <m:r>
          <m:t>i</m:t>
        </m:r>
        <m:r>
          <m:t>n</m:t>
        </m:r>
        <m:r>
          <m:t>e</m:t>
        </m:r>
        <m:r>
          <m:t>f</m:t>
        </m:r>
        <m:r>
          <m:t>r</m:t>
        </m:r>
        <m:r>
          <m:t>o</m:t>
        </m:r>
        <m:r>
          <m:t>m</m:t>
        </m:r>
        <m:r>
          <m:t>1</m:t>
        </m:r>
        <m:r>
          <m:t>Q</m:t>
        </m:r>
        <m:r>
          <m:t>26</m:t>
        </m:r>
        <m:r>
          <m:t>C</m:t>
        </m:r>
        <m:r>
          <m:t>o</m:t>
        </m:r>
        <m:r>
          <m:t>r</m:t>
        </m:r>
        <m:r>
          <m:t>e</m:t>
        </m:r>
        <m:r>
          <m:t>F</m:t>
        </m:r>
        <m:r>
          <m:t>F</m:t>
        </m:r>
        <m:r>
          <m:t>O</m:t>
        </m:r>
        <m:r>
          <m:t>o</m:t>
        </m:r>
        <m:r>
          <m:t>f</m:t>
        </m:r>
        <m:r>
          <m:rPr>
            <m:sty m:val="p"/>
          </m:rPr>
          <m:t>*</m:t>
        </m:r>
        <m:r>
          <m:rPr>
            <m:sty m:val="p"/>
          </m:rPr>
          <m:t>*</m:t>
        </m:r>
      </m:oMath>
      <w:r>
        <w:rPr>
          <w:b/>
          <w:bCs/>
        </w:rPr>
        <w:t xml:space="preserve">1.70 per share</w:t>
      </w:r>
      <w:r>
        <w:t xml:space="preserve">. Management attributed the expected sequential decline primarily to seasonally higher repairs and maintenance expense and the timing of annual merit increases, partially offset by incremental NOI from net acquisitions.</w:t>
      </w:r>
    </w:p>
    <w:p>
      <w:pPr>
        <w:pStyle w:val="BodyText"/>
      </w:pPr>
      <w:r>
        <w:t xml:space="preserve">For the full year, CPT maintained its</w:t>
      </w:r>
      <w:r>
        <w:t xml:space="preserve"> </w:t>
      </w:r>
      <w:r>
        <w:rPr>
          <w:b/>
          <w:bCs/>
        </w:rPr>
        <w:t xml:space="preserve">Core FFO guidance midpoint of $6.75 per share</w:t>
      </w:r>
      <w:r>
        <w:t xml:space="preserve">, alongside same-property guidance of:</w:t>
      </w:r>
    </w:p>
    <w:p>
      <w:pPr>
        <w:pStyle w:val="Compact"/>
        <w:numPr>
          <w:ilvl w:val="0"/>
          <w:numId w:val="1001"/>
        </w:numPr>
      </w:pPr>
      <w:r>
        <w:rPr>
          <w:b/>
          <w:bCs/>
        </w:rPr>
        <w:t xml:space="preserve">Revenue growth:</w:t>
      </w:r>
      <w:r>
        <w:t xml:space="preserve"> </w:t>
      </w:r>
      <w:r>
        <w:t xml:space="preserve">0.75% midpoint</w:t>
      </w:r>
    </w:p>
    <w:p>
      <w:pPr>
        <w:pStyle w:val="Compact"/>
        <w:numPr>
          <w:ilvl w:val="0"/>
          <w:numId w:val="1001"/>
        </w:numPr>
      </w:pPr>
      <w:r>
        <w:rPr>
          <w:b/>
          <w:bCs/>
        </w:rPr>
        <w:t xml:space="preserve">Expense growth:</w:t>
      </w:r>
      <w:r>
        <w:t xml:space="preserve"> </w:t>
      </w:r>
      <w:r>
        <w:t xml:space="preserve">3.0% midpoint</w:t>
      </w:r>
    </w:p>
    <w:p>
      <w:pPr>
        <w:pStyle w:val="Compact"/>
        <w:numPr>
          <w:ilvl w:val="0"/>
          <w:numId w:val="1001"/>
        </w:numPr>
      </w:pPr>
      <w:r>
        <w:rPr>
          <w:b/>
          <w:bCs/>
        </w:rPr>
        <w:t xml:space="preserve">NOI growth:</w:t>
      </w:r>
      <w:r>
        <w:t xml:space="preserve"> </w:t>
      </w:r>
      <w:r>
        <w:rPr>
          <w:b/>
          <w:bCs/>
        </w:rPr>
        <w:t xml:space="preserve">(0.5%)</w:t>
      </w:r>
      <w:r>
        <w:t xml:space="preserve"> </w:t>
      </w:r>
      <w:r>
        <w:t xml:space="preserve">midpoint</w:t>
      </w:r>
    </w:p>
    <w:p>
      <w:pPr>
        <w:pStyle w:val="FirstParagraph"/>
      </w:pPr>
      <w:r>
        <w:t xml:space="preserve">That full-year outlook assumes improving lease spreads through the core leasing season and continued absorption of excess apartment supply.</w:t>
      </w:r>
    </w:p>
    <w:p>
      <w:r>
        <w:pict>
          <v:rect style="width:0;height:1.5pt" o:hralign="center" o:hrstd="t" o:hr="t"/>
        </w:pict>
      </w:r>
    </w:p>
    <w:bookmarkEnd w:id="10"/>
    <w:bookmarkStart w:id="14" w:name="X63bbb2942dfac2ee0f613648297c517f9bf515a"/>
    <w:p>
      <w:pPr>
        <w:pStyle w:val="Heading2"/>
      </w:pPr>
      <w:r>
        <w:t xml:space="preserve">The key operating debate: Is the rent-growth recovery arriving?</w:t>
      </w:r>
    </w:p>
    <w:bookmarkStart w:id="11" w:name="what-improved-in-1q-and-april"/>
    <w:p>
      <w:pPr>
        <w:pStyle w:val="Heading3"/>
      </w:pPr>
      <w:r>
        <w:t xml:space="preserve">What improved in 1Q and April</w:t>
      </w:r>
    </w:p>
    <w:p>
      <w:pPr>
        <w:pStyle w:val="FirstParagraph"/>
      </w:pPr>
      <w:r>
        <w:t xml:space="preserve">CPT’s 1Q26 underlying operations were still soft, but trends had begun to improve:</w:t>
      </w:r>
    </w:p>
    <w:p>
      <w:pPr>
        <w:pStyle w:val="Compact"/>
        <w:numPr>
          <w:ilvl w:val="0"/>
          <w:numId w:val="1002"/>
        </w:numPr>
      </w:pPr>
      <w:r>
        <w:t xml:space="preserve">Same-property revenue increased just</w:t>
      </w:r>
      <w:r>
        <w:t xml:space="preserve"> </w:t>
      </w:r>
      <w:r>
        <w:rPr>
          <w:b/>
          <w:bCs/>
        </w:rPr>
        <w:t xml:space="preserve">0.2% year over year</w:t>
      </w:r>
      <w:r>
        <w:t xml:space="preserve">.</w:t>
      </w:r>
    </w:p>
    <w:p>
      <w:pPr>
        <w:pStyle w:val="Compact"/>
        <w:numPr>
          <w:ilvl w:val="0"/>
          <w:numId w:val="1002"/>
        </w:numPr>
      </w:pPr>
      <w:r>
        <w:t xml:space="preserve">Same-property NOI fell</w:t>
      </w:r>
      <w:r>
        <w:t xml:space="preserve"> </w:t>
      </w:r>
      <w:r>
        <w:rPr>
          <w:b/>
          <w:bCs/>
        </w:rPr>
        <w:t xml:space="preserve">0.7%</w:t>
      </w:r>
      <w:r>
        <w:t xml:space="preserve"> </w:t>
      </w:r>
      <w:r>
        <w:t xml:space="preserve">as expenses rose</w:t>
      </w:r>
      <w:r>
        <w:t xml:space="preserve"> </w:t>
      </w:r>
      <w:r>
        <w:rPr>
          <w:b/>
          <w:bCs/>
        </w:rPr>
        <w:t xml:space="preserve">1.9%</w:t>
      </w:r>
      <w:r>
        <w:t xml:space="preserve">.</w:t>
      </w:r>
    </w:p>
    <w:p>
      <w:pPr>
        <w:pStyle w:val="Compact"/>
        <w:numPr>
          <w:ilvl w:val="0"/>
          <w:numId w:val="1002"/>
        </w:numPr>
      </w:pPr>
      <w:r>
        <w:t xml:space="preserve">Occupancy was</w:t>
      </w:r>
      <w:r>
        <w:t xml:space="preserve"> </w:t>
      </w:r>
      <w:r>
        <w:rPr>
          <w:b/>
          <w:bCs/>
        </w:rPr>
        <w:t xml:space="preserve">95.1%</w:t>
      </w:r>
      <w:r>
        <w:t xml:space="preserve">, versus 95.4% in 1Q25.</w:t>
      </w:r>
    </w:p>
    <w:p>
      <w:pPr>
        <w:pStyle w:val="Compact"/>
        <w:numPr>
          <w:ilvl w:val="0"/>
          <w:numId w:val="1002"/>
        </w:numPr>
      </w:pPr>
      <w:r>
        <w:t xml:space="preserve">Effective new-lease rates declined</w:t>
      </w:r>
      <w:r>
        <w:t xml:space="preserve"> </w:t>
      </w:r>
      <w:r>
        <w:rPr>
          <w:b/>
          <w:bCs/>
        </w:rPr>
        <w:t xml:space="preserve">5.2%</w:t>
      </w:r>
      <w:r>
        <w:t xml:space="preserve">.</w:t>
      </w:r>
    </w:p>
    <w:p>
      <w:pPr>
        <w:pStyle w:val="Compact"/>
        <w:numPr>
          <w:ilvl w:val="0"/>
          <w:numId w:val="1002"/>
        </w:numPr>
      </w:pPr>
      <w:r>
        <w:t xml:space="preserve">Renewal rates increased</w:t>
      </w:r>
      <w:r>
        <w:t xml:space="preserve"> </w:t>
      </w:r>
      <w:r>
        <w:rPr>
          <w:b/>
          <w:bCs/>
        </w:rPr>
        <w:t xml:space="preserve">2.9%</w:t>
      </w:r>
      <w:r>
        <w:t xml:space="preserve">.</w:t>
      </w:r>
    </w:p>
    <w:p>
      <w:pPr>
        <w:pStyle w:val="Compact"/>
        <w:numPr>
          <w:ilvl w:val="0"/>
          <w:numId w:val="1002"/>
        </w:numPr>
      </w:pPr>
      <w:r>
        <w:t xml:space="preserve">Blended effective lease rates were down</w:t>
      </w:r>
      <w:r>
        <w:t xml:space="preserve"> </w:t>
      </w:r>
      <w:r>
        <w:rPr>
          <w:b/>
          <w:bCs/>
        </w:rPr>
        <w:t xml:space="preserve">1.4%</w:t>
      </w:r>
      <w:r>
        <w:t xml:space="preserve">.</w:t>
      </w:r>
    </w:p>
    <w:p>
      <w:pPr>
        <w:pStyle w:val="FirstParagraph"/>
      </w:pPr>
      <w:r>
        <w:t xml:space="preserve">Importantly, management said April occupancy improved to roughly</w:t>
      </w:r>
      <w:r>
        <w:t xml:space="preserve"> </w:t>
      </w:r>
      <w:r>
        <w:rPr>
          <w:b/>
          <w:bCs/>
        </w:rPr>
        <w:t xml:space="preserve">95.4%</w:t>
      </w:r>
      <w:r>
        <w:t xml:space="preserve">, while blended rent growth improved by about</w:t>
      </w:r>
      <w:r>
        <w:t xml:space="preserve"> </w:t>
      </w:r>
      <w:r>
        <w:rPr>
          <w:b/>
          <w:bCs/>
        </w:rPr>
        <w:t xml:space="preserve">100 basis points</w:t>
      </w:r>
      <w:r>
        <w:t xml:space="preserve"> </w:t>
      </w:r>
      <w:r>
        <w:t xml:space="preserve">versus 1Q. Renewal offers for May through July were being sent at increases in the mid-3% range.</w:t>
      </w:r>
    </w:p>
    <w:p>
      <w:pPr>
        <w:pStyle w:val="BodyText"/>
      </w:pPr>
      <w:r>
        <w:t xml:space="preserve">This quarter needs to show that the April improvement was not simply seasonal. The best evidence would be:</w:t>
      </w:r>
    </w:p>
    <w:p>
      <w:pPr>
        <w:pStyle w:val="Compact"/>
        <w:numPr>
          <w:ilvl w:val="0"/>
          <w:numId w:val="1003"/>
        </w:numPr>
      </w:pPr>
      <w:r>
        <w:t xml:space="preserve">Continued occupancy improvement or at least stability above the 1Q level;</w:t>
      </w:r>
    </w:p>
    <w:p>
      <w:pPr>
        <w:pStyle w:val="Compact"/>
        <w:numPr>
          <w:ilvl w:val="0"/>
          <w:numId w:val="1003"/>
        </w:numPr>
      </w:pPr>
      <w:r>
        <w:t xml:space="preserve">Further narrowing in negative new-lease spreads;</w:t>
      </w:r>
    </w:p>
    <w:p>
      <w:pPr>
        <w:pStyle w:val="Compact"/>
        <w:numPr>
          <w:ilvl w:val="0"/>
          <w:numId w:val="1003"/>
        </w:numPr>
      </w:pPr>
      <w:r>
        <w:t xml:space="preserve">Renewals landing close to offered rates;</w:t>
      </w:r>
    </w:p>
    <w:p>
      <w:pPr>
        <w:pStyle w:val="Compact"/>
        <w:numPr>
          <w:ilvl w:val="0"/>
          <w:numId w:val="1003"/>
        </w:numPr>
      </w:pPr>
      <w:r>
        <w:t xml:space="preserve">Lower competitive concessions in key submarkets; and</w:t>
      </w:r>
    </w:p>
    <w:p>
      <w:pPr>
        <w:pStyle w:val="Compact"/>
        <w:numPr>
          <w:ilvl w:val="0"/>
          <w:numId w:val="1003"/>
        </w:numPr>
      </w:pPr>
      <w:r>
        <w:t xml:space="preserve">Strong enough July leasing to support the company’s anticipated 3Q acceleration.</w:t>
      </w:r>
    </w:p>
    <w:bookmarkEnd w:id="11"/>
    <w:bookmarkStart w:id="12" w:name="markets-to-watch"/>
    <w:p>
      <w:pPr>
        <w:pStyle w:val="Heading3"/>
      </w:pPr>
      <w:r>
        <w:t xml:space="preserve">Markets to watch</w:t>
      </w:r>
    </w:p>
    <w:p>
      <w:pPr>
        <w:pStyle w:val="FirstParagraph"/>
      </w:pPr>
      <w:r>
        <w:t xml:space="preserve">Management previously highlighted</w:t>
      </w:r>
      <w:r>
        <w:t xml:space="preserve"> </w:t>
      </w:r>
      <w:r>
        <w:rPr>
          <w:b/>
          <w:bCs/>
        </w:rPr>
        <w:t xml:space="preserve">Atlanta, Dallas, Orlando, Nashville, Raleigh, and Southeast Florida</w:t>
      </w:r>
      <w:r>
        <w:t xml:space="preserve"> </w:t>
      </w:r>
      <w:r>
        <w:t xml:space="preserve">as early “green shoot” markets. These markets matter because they should be among the earliest beneficiaries of lower deliveries and are central to CPT’s Sunbelt-oriented strategy.</w:t>
      </w:r>
    </w:p>
    <w:p>
      <w:pPr>
        <w:pStyle w:val="BodyText"/>
      </w:pPr>
      <w:r>
        <w:rPr>
          <w:b/>
          <w:bCs/>
        </w:rPr>
        <w:t xml:space="preserve">Houston</w:t>
      </w:r>
      <w:r>
        <w:t xml:space="preserve"> </w:t>
      </w:r>
      <w:r>
        <w:t xml:space="preserve">remains the principal watch item. CPT characterized its Houston issue as more sentiment-driven than a structural demand problem: job and population growth remain favorable and resident rent-to-income is low, but leasing results and occupancy had lagged. A stabilizing Houston commentary would strengthen the recovery narrative; further weakness would challenge it.</w:t>
      </w:r>
    </w:p>
    <w:bookmarkEnd w:id="12"/>
    <w:bookmarkStart w:id="13" w:name="X77e6301ab6bcc7f1a87cfd2a263410ec54eec66"/>
    <w:p>
      <w:pPr>
        <w:pStyle w:val="Heading3"/>
      </w:pPr>
      <w:r>
        <w:t xml:space="preserve">Supply remains the fundamental swing factor</w:t>
      </w:r>
    </w:p>
    <w:p>
      <w:pPr>
        <w:pStyle w:val="FirstParagraph"/>
      </w:pPr>
      <w:r>
        <w:t xml:space="preserve">CPT’s thesis is that this is predominantly a</w:t>
      </w:r>
      <w:r>
        <w:t xml:space="preserve"> </w:t>
      </w:r>
      <w:r>
        <w:rPr>
          <w:b/>
          <w:bCs/>
        </w:rPr>
        <w:t xml:space="preserve">supply absorption</w:t>
      </w:r>
      <w:r>
        <w:t xml:space="preserve"> </w:t>
      </w:r>
      <w:r>
        <w:t xml:space="preserve">story, rather than a demand shortfall. Management previously cited apartment completions across its markets falling from approximately 200,000 in 2025 to roughly 140,000–150,000 in 2026, with further reductions expected thereafter.</w:t>
      </w:r>
    </w:p>
    <w:p>
      <w:pPr>
        <w:pStyle w:val="BodyText"/>
      </w:pPr>
      <w:r>
        <w:t xml:space="preserve">That backdrop makes the following language especially important on the call:</w:t>
      </w:r>
    </w:p>
    <w:p>
      <w:pPr>
        <w:pStyle w:val="Compact"/>
        <w:numPr>
          <w:ilvl w:val="0"/>
          <w:numId w:val="1004"/>
        </w:numPr>
      </w:pPr>
      <w:r>
        <w:t xml:space="preserve">Has the company’s timing for supply absorption changed?</w:t>
      </w:r>
    </w:p>
    <w:p>
      <w:pPr>
        <w:pStyle w:val="Compact"/>
        <w:numPr>
          <w:ilvl w:val="0"/>
          <w:numId w:val="1004"/>
        </w:numPr>
      </w:pPr>
      <w:r>
        <w:t xml:space="preserve">Are concessions continuing to decline?</w:t>
      </w:r>
    </w:p>
    <w:p>
      <w:pPr>
        <w:pStyle w:val="Compact"/>
        <w:numPr>
          <w:ilvl w:val="0"/>
          <w:numId w:val="1004"/>
        </w:numPr>
      </w:pPr>
      <w:r>
        <w:t xml:space="preserve">Is recovery still concentrated in urban submarkets, where supply is falling fastest?</w:t>
      </w:r>
    </w:p>
    <w:p>
      <w:pPr>
        <w:pStyle w:val="Compact"/>
        <w:numPr>
          <w:ilvl w:val="0"/>
          <w:numId w:val="1004"/>
        </w:numPr>
      </w:pPr>
      <w:r>
        <w:t xml:space="preserve">Does CPT still expect a pronounced 3Q improvement and a stronger-than-normal 4Q?</w:t>
      </w:r>
    </w:p>
    <w:p>
      <w:pPr>
        <w:pStyle w:val="FirstParagraph"/>
      </w:pPr>
      <w:r>
        <w:t xml:space="preserve">A reaffirmation of the “strong 3Q / better 4Q” setup would likely matter more to the stock than a modest Core FFO beat.</w:t>
      </w:r>
    </w:p>
    <w:p>
      <w:r>
        <w:pict>
          <v:rect style="width:0;height:1.5pt" o:hralign="center" o:hrstd="t" o:hr="t"/>
        </w:pict>
      </w:r>
    </w:p>
    <w:bookmarkEnd w:id="13"/>
    <w:bookmarkEnd w:id="14"/>
    <w:bookmarkStart w:id="16" w:name="X1f1ddad82e7d4c1069ba5337421b8ee5f05b2ce"/>
    <w:p>
      <w:pPr>
        <w:pStyle w:val="Heading2"/>
      </w:pPr>
      <w:r>
        <w:t xml:space="preserve">Capital allocation: The California sale is the major non-operating catalyst</w:t>
      </w:r>
    </w:p>
    <w:p>
      <w:pPr>
        <w:pStyle w:val="FirstParagraph"/>
      </w:pPr>
      <w:r>
        <w:t xml:space="preserve">CPT had been marketing</w:t>
      </w:r>
      <w:r>
        <w:t xml:space="preserve"> </w:t>
      </w:r>
      <w:r>
        <w:rPr>
          <w:b/>
          <w:bCs/>
        </w:rPr>
        <w:t xml:space="preserve">11 California operating communities</w:t>
      </w:r>
      <w:r>
        <w:t xml:space="preserve"> </w:t>
      </w:r>
      <w:r>
        <w:t xml:space="preserve">for sale. At the 1Q call, management said it was in diligence with a single buyer for the full portfolio, targeting a close around late June or early July, while noting other buyers could step in if needed.</w:t>
      </w:r>
    </w:p>
    <w:p>
      <w:pPr>
        <w:pStyle w:val="BodyText"/>
      </w:pPr>
      <w:r>
        <w:t xml:space="preserve">That makes the transaction-status update central to 2Q results.</w:t>
      </w:r>
    </w:p>
    <w:bookmarkStart w:id="15" w:name="what-investors-need-to-hear"/>
    <w:p>
      <w:pPr>
        <w:pStyle w:val="Heading3"/>
      </w:pPr>
      <w:r>
        <w:t xml:space="preserve">What investors need to hear</w:t>
      </w:r>
    </w:p>
    <w:p>
      <w:pPr>
        <w:numPr>
          <w:ilvl w:val="0"/>
          <w:numId w:val="1005"/>
        </w:numPr>
      </w:pPr>
      <w:r>
        <w:rPr>
          <w:b/>
          <w:bCs/>
        </w:rPr>
        <w:t xml:space="preserve">Did the California sale close?</w:t>
      </w:r>
      <w:r>
        <w:br/>
      </w:r>
      <w:r>
        <w:t xml:space="preserve">If not, why not, and what is the updated expected timing and execution risk?</w:t>
      </w:r>
    </w:p>
    <w:p>
      <w:pPr>
        <w:numPr>
          <w:ilvl w:val="0"/>
          <w:numId w:val="1005"/>
        </w:numPr>
      </w:pPr>
      <w:r>
        <w:rPr>
          <w:b/>
          <w:bCs/>
        </w:rPr>
        <w:t xml:space="preserve">What were the proceeds, implied cap rate, and gain?</w:t>
      </w:r>
      <w:r>
        <w:br/>
      </w:r>
      <w:r>
        <w:t xml:space="preserve">These determine the scale of redeployment, the potential taxable-income impact, and the quality of the value realization.</w:t>
      </w:r>
    </w:p>
    <w:p>
      <w:pPr>
        <w:numPr>
          <w:ilvl w:val="0"/>
          <w:numId w:val="1005"/>
        </w:numPr>
      </w:pPr>
      <w:r>
        <w:rPr>
          <w:b/>
          <w:bCs/>
        </w:rPr>
        <w:t xml:space="preserve">How much has been committed to acquisitions?</w:t>
      </w:r>
      <w:r>
        <w:br/>
      </w:r>
      <w:r>
        <w:t xml:space="preserve">CPT previously said it had awarded roughly</w:t>
      </w:r>
      <w:r>
        <w:t xml:space="preserve"> </w:t>
      </w:r>
      <m:oMath>
        <m:r>
          <m:t>250</m:t>
        </m:r>
        <m:r>
          <m:t>m</m:t>
        </m:r>
        <m:r>
          <m:t>i</m:t>
        </m:r>
        <m:r>
          <m:t>l</m:t>
        </m:r>
        <m:r>
          <m:t>l</m:t>
        </m:r>
        <m:r>
          <m:t>i</m:t>
        </m:r>
        <m:r>
          <m:t>o</m:t>
        </m:r>
        <m:r>
          <m:t>n</m:t>
        </m:r>
        <m:r>
          <m:t>o</m:t>
        </m:r>
        <m:r>
          <m:t>f</m:t>
        </m:r>
        <m:r>
          <m:t>a</m:t>
        </m:r>
        <m:r>
          <m:t>d</m:t>
        </m:r>
        <m:r>
          <m:t>d</m:t>
        </m:r>
        <m:r>
          <m:t>i</m:t>
        </m:r>
        <m:r>
          <m:t>t</m:t>
        </m:r>
        <m:r>
          <m:t>i</m:t>
        </m:r>
        <m:r>
          <m:t>o</m:t>
        </m:r>
        <m:r>
          <m:t>n</m:t>
        </m:r>
        <m:r>
          <m:t>a</m:t>
        </m:r>
        <m:r>
          <m:t>l</m:t>
        </m:r>
        <m:r>
          <m:t>a</m:t>
        </m:r>
        <m:r>
          <m:t>c</m:t>
        </m:r>
        <m:r>
          <m:t>q</m:t>
        </m:r>
        <m:r>
          <m:t>u</m:t>
        </m:r>
        <m:r>
          <m:t>i</m:t>
        </m:r>
        <m:r>
          <m:t>s</m:t>
        </m:r>
        <m:r>
          <m:t>i</m:t>
        </m:r>
        <m:r>
          <m:t>t</m:t>
        </m:r>
        <m:r>
          <m:t>i</m:t>
        </m:r>
        <m:r>
          <m:t>o</m:t>
        </m:r>
        <m:r>
          <m:t>n</m:t>
        </m:r>
        <m:r>
          <m:t>s</m:t>
        </m:r>
        <m:r>
          <m:t>o</m:t>
        </m:r>
        <m:r>
          <m:t>n</m:t>
        </m:r>
        <m:r>
          <m:t>t</m:t>
        </m:r>
        <m:r>
          <m:t>o</m:t>
        </m:r>
        <m:r>
          <m:t>p</m:t>
        </m:r>
        <m:r>
          <m:t>o</m:t>
        </m:r>
        <m:r>
          <m:t>f</m:t>
        </m:r>
        <m:r>
          <m:t>t</m:t>
        </m:r>
        <m:r>
          <m:t>h</m:t>
        </m:r>
        <m:r>
          <m:t>e</m:t>
        </m:r>
        <m:r>
          <m:t>a</m:t>
        </m:r>
        <m:r>
          <m:t>p</m:t>
        </m:r>
        <m:r>
          <m:t>p</m:t>
        </m:r>
        <m:r>
          <m:t>r</m:t>
        </m:r>
        <m:r>
          <m:t>o</m:t>
        </m:r>
        <m:r>
          <m:t>x</m:t>
        </m:r>
        <m:r>
          <m:t>i</m:t>
        </m:r>
        <m:r>
          <m:t>m</m:t>
        </m:r>
        <m:r>
          <m:t>a</m:t>
        </m:r>
        <m:r>
          <m:t>t</m:t>
        </m:r>
        <m:r>
          <m:t>e</m:t>
        </m:r>
        <m:r>
          <m:t>l</m:t>
        </m:r>
        <m:r>
          <m:t>y</m:t>
        </m:r>
        <m:r>
          <m:rPr>
            <m:sty m:val="p"/>
          </m:rPr>
          <m:t>*</m:t>
        </m:r>
        <m:r>
          <m:rPr>
            <m:sty m:val="p"/>
          </m:rPr>
          <m:t>*</m:t>
        </m:r>
      </m:oMath>
      <w:r>
        <w:t xml:space="preserve">171 million** of Atlanta and Orlando acquisitions completed after 1Q. It had targeted about</w:t>
      </w:r>
      <w:r>
        <w:t xml:space="preserve"> </w:t>
      </w:r>
      <w:r>
        <w:rPr>
          <w:b/>
          <w:bCs/>
        </w:rPr>
        <w:t xml:space="preserve">$1 billion</w:t>
      </w:r>
      <w:r>
        <w:t xml:space="preserve"> </w:t>
      </w:r>
      <w:r>
        <w:t xml:space="preserve">of acquisitions to facilitate 1031 exchange treatment.</w:t>
      </w:r>
    </w:p>
    <w:p>
      <w:pPr>
        <w:numPr>
          <w:ilvl w:val="0"/>
          <w:numId w:val="1005"/>
        </w:numPr>
      </w:pPr>
      <w:r>
        <w:rPr>
          <w:b/>
          <w:bCs/>
        </w:rPr>
        <w:t xml:space="preserve">Will buybacks resume?</w:t>
      </w:r>
      <w:r>
        <w:br/>
      </w:r>
      <w:r>
        <w:t xml:space="preserve">CPT repurchased approximately</w:t>
      </w:r>
      <w:r>
        <w:t xml:space="preserve"> </w:t>
      </w:r>
      <m:oMath>
        <m:r>
          <m:t>423</m:t>
        </m:r>
        <m:r>
          <m:t>m</m:t>
        </m:r>
        <m:r>
          <m:t>i</m:t>
        </m:r>
        <m:r>
          <m:t>l</m:t>
        </m:r>
        <m:r>
          <m:t>l</m:t>
        </m:r>
        <m:r>
          <m:t>i</m:t>
        </m:r>
        <m:r>
          <m:t>o</m:t>
        </m:r>
        <m:r>
          <m:t>n</m:t>
        </m:r>
        <m:r>
          <m:rPr>
            <m:sty m:val="p"/>
          </m:rPr>
          <m:t>*</m:t>
        </m:r>
        <m:r>
          <m:rPr>
            <m:sty m:val="p"/>
          </m:rPr>
          <m:t>*</m:t>
        </m:r>
        <m:r>
          <m:t>o</m:t>
        </m:r>
        <m:r>
          <m:t>f</m:t>
        </m:r>
        <m:r>
          <m:t>s</m:t>
        </m:r>
        <m:r>
          <m:t>t</m:t>
        </m:r>
        <m:r>
          <m:t>o</m:t>
        </m:r>
        <m:r>
          <m:t>c</m:t>
        </m:r>
        <m:r>
          <m:t>k</m:t>
        </m:r>
        <m:r>
          <m:t>t</m:t>
        </m:r>
        <m:r>
          <m:t>h</m:t>
        </m:r>
        <m:r>
          <m:t>r</m:t>
        </m:r>
        <m:r>
          <m:t>o</m:t>
        </m:r>
        <m:r>
          <m:t>u</m:t>
        </m:r>
        <m:r>
          <m:t>g</m:t>
        </m:r>
        <m:r>
          <m:t>h</m:t>
        </m:r>
        <m:r>
          <m:t>A</m:t>
        </m:r>
        <m:r>
          <m:t>p</m:t>
        </m:r>
        <m:r>
          <m:t>r</m:t>
        </m:r>
        <m:r>
          <m:t>i</m:t>
        </m:r>
        <m:r>
          <m:t>l</m:t>
        </m:r>
        <m:r>
          <m:t>a</m:t>
        </m:r>
        <m:r>
          <m:t>t</m:t>
        </m:r>
        <m:r>
          <m:t>a</m:t>
        </m:r>
        <m:r>
          <m:t>n</m:t>
        </m:r>
        <m:r>
          <m:t>a</m:t>
        </m:r>
        <m:r>
          <m:t>v</m:t>
        </m:r>
        <m:r>
          <m:t>e</m:t>
        </m:r>
        <m:r>
          <m:t>r</m:t>
        </m:r>
        <m:r>
          <m:t>a</m:t>
        </m:r>
        <m:r>
          <m:t>g</m:t>
        </m:r>
        <m:r>
          <m:t>e</m:t>
        </m:r>
        <m:r>
          <m:t>p</m:t>
        </m:r>
        <m:r>
          <m:t>r</m:t>
        </m:r>
        <m:r>
          <m:t>i</m:t>
        </m:r>
        <m:r>
          <m:t>c</m:t>
        </m:r>
        <m:r>
          <m:t>e</m:t>
        </m:r>
        <m:r>
          <m:t>o</m:t>
        </m:r>
        <m:r>
          <m:t>f</m:t>
        </m:r>
        <m:r>
          <m:rPr>
            <m:sty m:val="p"/>
          </m:rPr>
          <m:t>*</m:t>
        </m:r>
        <m:r>
          <m:rPr>
            <m:sty m:val="p"/>
          </m:rPr>
          <m:t>*</m:t>
        </m:r>
      </m:oMath>
      <w:r>
        <w:rPr>
          <w:b/>
          <w:bCs/>
        </w:rPr>
        <w:t xml:space="preserve">104.08</w:t>
      </w:r>
      <w:r>
        <w:t xml:space="preserve"> </w:t>
      </w:r>
      <w:r>
        <w:t xml:space="preserve">per share. It had</w:t>
      </w:r>
      <w:r>
        <w:t xml:space="preserve"> </w:t>
      </w:r>
      <m:oMath>
        <m:r>
          <m:t>297.8</m:t>
        </m:r>
        <m:r>
          <m:t>m</m:t>
        </m:r>
        <m:r>
          <m:t>i</m:t>
        </m:r>
        <m:r>
          <m:t>l</m:t>
        </m:r>
        <m:r>
          <m:t>l</m:t>
        </m:r>
        <m:r>
          <m:t>i</m:t>
        </m:r>
        <m:r>
          <m:t>o</m:t>
        </m:r>
        <m:r>
          <m:t>n</m:t>
        </m:r>
        <m:r>
          <m:rPr>
            <m:sty m:val="p"/>
          </m:rPr>
          <m:t>*</m:t>
        </m:r>
        <m:r>
          <m:rPr>
            <m:sty m:val="p"/>
          </m:rPr>
          <m:t>*</m:t>
        </m:r>
        <m:r>
          <m:t>o</m:t>
        </m:r>
        <m:r>
          <m:t>f</m:t>
        </m:r>
        <m:r>
          <m:t>r</m:t>
        </m:r>
        <m:r>
          <m:t>e</m:t>
        </m:r>
        <m:r>
          <m:t>m</m:t>
        </m:r>
        <m:r>
          <m:t>a</m:t>
        </m:r>
        <m:r>
          <m:t>i</m:t>
        </m:r>
        <m:r>
          <m:t>n</m:t>
        </m:r>
        <m:r>
          <m:t>i</m:t>
        </m:r>
        <m:r>
          <m:t>n</m:t>
        </m:r>
        <m:r>
          <m:t>g</m:t>
        </m:r>
        <m:r>
          <m:t>a</m:t>
        </m:r>
        <m:r>
          <m:t>u</m:t>
        </m:r>
        <m:r>
          <m:t>t</m:t>
        </m:r>
        <m:r>
          <m:t>h</m:t>
        </m:r>
        <m:r>
          <m:t>o</m:t>
        </m:r>
        <m:r>
          <m:t>r</m:t>
        </m:r>
        <m:r>
          <m:t>i</m:t>
        </m:r>
        <m:r>
          <m:t>z</m:t>
        </m:r>
        <m:r>
          <m:t>a</m:t>
        </m:r>
        <m:r>
          <m:t>t</m:t>
        </m:r>
        <m:r>
          <m:t>i</m:t>
        </m:r>
        <m:r>
          <m:t>o</m:t>
        </m:r>
        <m:r>
          <m:t>n</m:t>
        </m:r>
        <m:r>
          <m:t>a</m:t>
        </m:r>
        <m:r>
          <m:t>f</m:t>
        </m:r>
        <m:r>
          <m:t>t</m:t>
        </m:r>
        <m:r>
          <m:t>e</m:t>
        </m:r>
        <m:r>
          <m:t>r</m:t>
        </m:r>
        <m:r>
          <m:t>t</m:t>
        </m:r>
        <m:r>
          <m:t>h</m:t>
        </m:r>
        <m:r>
          <m:t>o</m:t>
        </m:r>
        <m:r>
          <m:t>s</m:t>
        </m:r>
        <m:r>
          <m:t>e</m:t>
        </m:r>
        <m:r>
          <m:t>r</m:t>
        </m:r>
        <m:r>
          <m:t>e</m:t>
        </m:r>
        <m:r>
          <m:t>p</m:t>
        </m:r>
        <m:r>
          <m:t>u</m:t>
        </m:r>
        <m:r>
          <m:t>r</m:t>
        </m:r>
        <m:r>
          <m:t>c</m:t>
        </m:r>
        <m:r>
          <m:t>h</m:t>
        </m:r>
        <m:r>
          <m:t>a</m:t>
        </m:r>
        <m:r>
          <m:t>s</m:t>
        </m:r>
        <m:r>
          <m:t>e</m:t>
        </m:r>
        <m:r>
          <m:t>s</m:t>
        </m:r>
        <m:r>
          <m:rPr>
            <m:sty m:val="p"/>
          </m:rPr>
          <m:t>,</m:t>
        </m:r>
        <m:r>
          <m:t>a</m:t>
        </m:r>
        <m:r>
          <m:t>l</m:t>
        </m:r>
        <m:r>
          <m:t>t</m:t>
        </m:r>
        <m:r>
          <m:t>h</m:t>
        </m:r>
        <m:r>
          <m:t>o</m:t>
        </m:r>
        <m:r>
          <m:t>u</m:t>
        </m:r>
        <m:r>
          <m:t>g</m:t>
        </m:r>
        <m:r>
          <m:t>h</m:t>
        </m:r>
        <m:r>
          <m:t>i</m:t>
        </m:r>
        <m:r>
          <m:t>t</m:t>
        </m:r>
        <m:r>
          <m:t>s</m:t>
        </m:r>
        <m:r>
          <m:t>f</m:t>
        </m:r>
        <m:r>
          <m:t>u</m:t>
        </m:r>
        <m:r>
          <m:t>l</m:t>
        </m:r>
        <m:r>
          <m:t>l</m:t>
        </m:r>
        <m:r>
          <m:rPr>
            <m:sty m:val="p"/>
          </m:rPr>
          <m:t>−</m:t>
        </m:r>
        <m:r>
          <m:t>y</m:t>
        </m:r>
        <m:r>
          <m:t>e</m:t>
        </m:r>
        <m:r>
          <m:t>a</m:t>
        </m:r>
        <m:r>
          <m:t>r</m:t>
        </m:r>
        <m:r>
          <m:t>g</m:t>
        </m:r>
        <m:r>
          <m:t>u</m:t>
        </m:r>
        <m:r>
          <m:t>i</m:t>
        </m:r>
        <m:r>
          <m:t>d</m:t>
        </m:r>
        <m:r>
          <m:t>a</m:t>
        </m:r>
        <m:r>
          <m:t>n</m:t>
        </m:r>
        <m:r>
          <m:t>c</m:t>
        </m:r>
        <m:r>
          <m:t>e</m:t>
        </m:r>
        <m:r>
          <m:t>a</m:t>
        </m:r>
        <m:r>
          <m:t>s</m:t>
        </m:r>
        <m:r>
          <m:t>s</m:t>
        </m:r>
        <m:r>
          <m:t>u</m:t>
        </m:r>
        <m:r>
          <m:t>m</m:t>
        </m:r>
        <m:r>
          <m:t>e</m:t>
        </m:r>
        <m:r>
          <m:t>d</m:t>
        </m:r>
        <m:r>
          <m:t>n</m:t>
        </m:r>
        <m:r>
          <m:t>o</m:t>
        </m:r>
        <m:r>
          <m:t>a</m:t>
        </m:r>
        <m:r>
          <m:t>d</m:t>
        </m:r>
        <m:r>
          <m:t>d</m:t>
        </m:r>
        <m:r>
          <m:t>i</m:t>
        </m:r>
        <m:r>
          <m:t>t</m:t>
        </m:r>
        <m:r>
          <m:t>i</m:t>
        </m:r>
        <m:r>
          <m:t>o</m:t>
        </m:r>
        <m:r>
          <m:t>n</m:t>
        </m:r>
        <m:r>
          <m:t>a</m:t>
        </m:r>
        <m:r>
          <m:t>l</m:t>
        </m:r>
        <m:r>
          <m:t>b</m:t>
        </m:r>
        <m:r>
          <m:t>u</m:t>
        </m:r>
        <m:r>
          <m:t>y</m:t>
        </m:r>
        <m:r>
          <m:t>b</m:t>
        </m:r>
        <m:r>
          <m:t>a</m:t>
        </m:r>
        <m:r>
          <m:t>c</m:t>
        </m:r>
        <m:r>
          <m:t>k</m:t>
        </m:r>
        <m:r>
          <m:t>s</m:t>
        </m:r>
        <m:r>
          <m:rPr>
            <m:sty m:val="p"/>
          </m:rPr>
          <m:t>.</m:t>
        </m:r>
        <m:r>
          <m:t>W</m:t>
        </m:r>
        <m:r>
          <m:t>i</m:t>
        </m:r>
        <m:r>
          <m:t>t</m:t>
        </m:r>
        <m:r>
          <m:t>h</m:t>
        </m:r>
        <m:r>
          <m:t>t</m:t>
        </m:r>
        <m:r>
          <m:t>h</m:t>
        </m:r>
        <m:r>
          <m:t>e</m:t>
        </m:r>
        <m:r>
          <m:t>s</m:t>
        </m:r>
        <m:r>
          <m:t>h</m:t>
        </m:r>
        <m:r>
          <m:t>a</m:t>
        </m:r>
        <m:r>
          <m:t>r</m:t>
        </m:r>
        <m:r>
          <m:t>e</m:t>
        </m:r>
        <m:r>
          <m:t>s</m:t>
        </m:r>
        <m:r>
          <m:t>a</m:t>
        </m:r>
        <m:r>
          <m:t>t</m:t>
        </m:r>
        <m:r>
          <m:rPr>
            <m:sty m:val="p"/>
          </m:rPr>
          <m:t>*</m:t>
        </m:r>
        <m:r>
          <m:rPr>
            <m:sty m:val="p"/>
          </m:rPr>
          <m:t>*</m:t>
        </m:r>
      </m:oMath>
      <w:r>
        <w:rPr>
          <w:b/>
          <w:bCs/>
        </w:rPr>
        <w:t xml:space="preserve">116.18</w:t>
      </w:r>
      <w:r>
        <w:t xml:space="preserve"> </w:t>
      </w:r>
      <w:r>
        <w:t xml:space="preserve">at the July 29 close—up about</w:t>
      </w:r>
      <w:r>
        <w:t xml:space="preserve"> </w:t>
      </w:r>
      <w:r>
        <w:rPr>
          <w:b/>
          <w:bCs/>
        </w:rPr>
        <w:t xml:space="preserve">10.6%</w:t>
      </w:r>
      <w:r>
        <w:t xml:space="preserve"> </w:t>
      </w:r>
      <w:r>
        <w:t xml:space="preserve">from the April 30 close—the return hurdle for incremental repurchases is higher than it was earlier in the year.</w:t>
      </w:r>
    </w:p>
    <w:p>
      <w:pPr>
        <w:numPr>
          <w:ilvl w:val="0"/>
          <w:numId w:val="1005"/>
        </w:numPr>
      </w:pPr>
      <w:r>
        <w:rPr>
          <w:b/>
          <w:bCs/>
        </w:rPr>
        <w:t xml:space="preserve">What is the earnings impact of transaction timing?</w:t>
      </w:r>
      <w:r>
        <w:br/>
      </w:r>
      <w:r>
        <w:t xml:space="preserve">CPT has already warned that the timing of California sale proceeds and reinvestment can create meaningful variability in 2026 earnings. Investors should distinguish any timing-related FFO movement from changes in core leasing fundamentals.</w:t>
      </w:r>
    </w:p>
    <w:p>
      <w:r>
        <w:pict>
          <v:rect style="width:0;height:1.5pt" o:hralign="center" o:hrstd="t" o:hr="t"/>
        </w:pict>
      </w:r>
    </w:p>
    <w:bookmarkEnd w:id="15"/>
    <w:bookmarkEnd w:id="16"/>
    <w:bookmarkStart w:id="17" w:name="X5599415e2f0e18f4b7dcfe5d52c619878f81e2b"/>
    <w:p>
      <w:pPr>
        <w:pStyle w:val="Heading2"/>
      </w:pPr>
      <w:r>
        <w:t xml:space="preserve">Balance sheet: Still flexible, but updated leverage matters</w:t>
      </w:r>
    </w:p>
    <w:p>
      <w:pPr>
        <w:pStyle w:val="FirstParagraph"/>
      </w:pPr>
      <w:r>
        <w:t xml:space="preserve">CPT ended 1Q with approximately:</w:t>
      </w:r>
    </w:p>
    <w:p>
      <w:pPr>
        <w:pStyle w:val="Compact"/>
        <w:numPr>
          <w:ilvl w:val="0"/>
          <w:numId w:val="1006"/>
        </w:numPr>
      </w:pPr>
      <w:r>
        <w:rPr>
          <w:b/>
          <w:bCs/>
        </w:rPr>
        <w:t xml:space="preserve">$882 million of liquidity</w:t>
      </w:r>
      <w:r>
        <w:t xml:space="preserve">, including cash and revolver/commercial-paper capacity;</w:t>
      </w:r>
    </w:p>
    <w:p>
      <w:pPr>
        <w:pStyle w:val="Compact"/>
        <w:numPr>
          <w:ilvl w:val="0"/>
          <w:numId w:val="1006"/>
        </w:numPr>
      </w:pPr>
      <w:r>
        <w:rPr>
          <w:b/>
          <w:bCs/>
        </w:rPr>
        <w:t xml:space="preserve">$4.25 billion of total debt</w:t>
      </w:r>
      <w:r>
        <w:t xml:space="preserve">;</w:t>
      </w:r>
    </w:p>
    <w:p>
      <w:pPr>
        <w:pStyle w:val="Compact"/>
        <w:numPr>
          <w:ilvl w:val="0"/>
          <w:numId w:val="1006"/>
        </w:numPr>
      </w:pPr>
      <w:r>
        <w:rPr>
          <w:b/>
          <w:bCs/>
        </w:rPr>
        <w:t xml:space="preserve">4.7x net debt / annualized adjusted EBITDAre</w:t>
      </w:r>
      <w:r>
        <w:t xml:space="preserve">; and</w:t>
      </w:r>
    </w:p>
    <w:p>
      <w:pPr>
        <w:pStyle w:val="Compact"/>
        <w:numPr>
          <w:ilvl w:val="0"/>
          <w:numId w:val="1006"/>
        </w:numPr>
      </w:pPr>
      <w:r>
        <w:t xml:space="preserve">A weighted-average debt maturity of roughly</w:t>
      </w:r>
      <w:r>
        <w:t xml:space="preserve"> </w:t>
      </w:r>
      <w:r>
        <w:rPr>
          <w:b/>
          <w:bCs/>
        </w:rPr>
        <w:t xml:space="preserve">5.4 years</w:t>
      </w:r>
      <w:r>
        <w:t xml:space="preserve">.</w:t>
      </w:r>
    </w:p>
    <w:p>
      <w:pPr>
        <w:pStyle w:val="FirstParagraph"/>
      </w:pPr>
      <w:r>
        <w:t xml:space="preserve">During 1Q, CPT issued</w:t>
      </w:r>
      <w:r>
        <w:t xml:space="preserve"> </w:t>
      </w:r>
      <w:r>
        <w:rPr>
          <w:b/>
          <w:bCs/>
        </w:rPr>
        <w:t xml:space="preserve">$600 million of 10-year unsecured notes</w:t>
      </w:r>
      <w:r>
        <w:t xml:space="preserve"> </w:t>
      </w:r>
      <w:r>
        <w:t xml:space="preserve">with a 4.90% coupon and approximately 5.03% effective interest rate, while extending its $1.2 billion revolving-credit facility to March 2030.</w:t>
      </w:r>
    </w:p>
    <w:p>
      <w:pPr>
        <w:pStyle w:val="BodyText"/>
      </w:pPr>
      <w:r>
        <w:t xml:space="preserve">The balance sheet supports CPT’s acquisition and buyback optionality, but investors should focus on whether 2Q activity has changed:</w:t>
      </w:r>
    </w:p>
    <w:p>
      <w:pPr>
        <w:pStyle w:val="Compact"/>
        <w:numPr>
          <w:ilvl w:val="0"/>
          <w:numId w:val="1007"/>
        </w:numPr>
      </w:pPr>
      <w:r>
        <w:t xml:space="preserve">pro forma leverage after acquisitions and any California sale,</w:t>
      </w:r>
    </w:p>
    <w:p>
      <w:pPr>
        <w:pStyle w:val="Compact"/>
        <w:numPr>
          <w:ilvl w:val="0"/>
          <w:numId w:val="1007"/>
        </w:numPr>
      </w:pPr>
      <w:r>
        <w:t xml:space="preserve">floating-rate debt exposure,</w:t>
      </w:r>
    </w:p>
    <w:p>
      <w:pPr>
        <w:pStyle w:val="Compact"/>
        <w:numPr>
          <w:ilvl w:val="0"/>
          <w:numId w:val="1007"/>
        </w:numPr>
      </w:pPr>
      <w:r>
        <w:t xml:space="preserve">2026 refinancing plans,</w:t>
      </w:r>
    </w:p>
    <w:p>
      <w:pPr>
        <w:pStyle w:val="Compact"/>
        <w:numPr>
          <w:ilvl w:val="0"/>
          <w:numId w:val="1007"/>
        </w:numPr>
      </w:pPr>
      <w:r>
        <w:t xml:space="preserve">the amount of dry powder remaining for 1031 exchanges, and</w:t>
      </w:r>
    </w:p>
    <w:p>
      <w:pPr>
        <w:pStyle w:val="Compact"/>
        <w:numPr>
          <w:ilvl w:val="0"/>
          <w:numId w:val="1007"/>
        </w:numPr>
      </w:pPr>
      <w:r>
        <w:t xml:space="preserve">whether management sees acquisitions or share repurchases as the superior use of incremental capital at current prices.</w:t>
      </w:r>
    </w:p>
    <w:p>
      <w:r>
        <w:pict>
          <v:rect style="width:0;height:1.5pt" o:hralign="center" o:hrstd="t" o:hr="t"/>
        </w:pict>
      </w:r>
    </w:p>
    <w:bookmarkEnd w:id="17"/>
    <w:bookmarkStart w:id="18" w:name="Xc271d5759f7f136837276d564b86f3095ed611f"/>
    <w:p>
      <w:pPr>
        <w:pStyle w:val="Heading2"/>
      </w:pPr>
      <w:r>
        <w:t xml:space="preserve">Litigation: No longer the earnings issue, but not fully resolved</w:t>
      </w:r>
    </w:p>
    <w:p>
      <w:pPr>
        <w:pStyle w:val="FirstParagraph"/>
      </w:pPr>
      <w:r>
        <w:t xml:space="preserve">In 1Q, CPT recorded a</w:t>
      </w:r>
      <w:r>
        <w:t xml:space="preserve"> </w:t>
      </w:r>
      <w:r>
        <w:rPr>
          <w:b/>
          <w:bCs/>
        </w:rPr>
        <w:t xml:space="preserve">$53 million</w:t>
      </w:r>
      <w:r>
        <w:t xml:space="preserve"> </w:t>
      </w:r>
      <w:r>
        <w:t xml:space="preserve">proposed class-action settlement related to rental-revenue-management software litigation, plus other related legal costs. The charge was excluded from Core FFO, which is why Core FFO remains the appropriate earnings measure for evaluating operating performance.</w:t>
      </w:r>
    </w:p>
    <w:p>
      <w:pPr>
        <w:pStyle w:val="BodyText"/>
      </w:pPr>
      <w:r>
        <w:t xml:space="preserve">Still, the matter is not entirely behind the company: the settlement remained subject to finalization and court approval, while other governmental and related legal proceedings were ongoing. Investors should look for confirmation that the expected cash payments, prospective commitments, and legal costs remain consistent with prior disclosures.</w:t>
      </w:r>
    </w:p>
    <w:p>
      <w:r>
        <w:pict>
          <v:rect style="width:0;height:1.5pt" o:hralign="center" o:hrstd="t" o:hr="t"/>
        </w:pict>
      </w:r>
    </w:p>
    <w:bookmarkEnd w:id="18"/>
    <w:bookmarkStart w:id="21" w:name="Xa0d6b3646e7473e6aca5b292f640ff26076c6cb"/>
    <w:p>
      <w:pPr>
        <w:pStyle w:val="Heading2"/>
      </w:pPr>
      <w:r>
        <w:t xml:space="preserve">What could drive the stock after earnings</w:t>
      </w:r>
    </w:p>
    <w:bookmarkStart w:id="19" w:name="potentially-positive"/>
    <w:p>
      <w:pPr>
        <w:pStyle w:val="Heading3"/>
      </w:pPr>
      <w:r>
        <w:t xml:space="preserve">Potentially positive</w:t>
      </w:r>
    </w:p>
    <w:p>
      <w:pPr>
        <w:pStyle w:val="Compact"/>
        <w:numPr>
          <w:ilvl w:val="0"/>
          <w:numId w:val="1008"/>
        </w:numPr>
      </w:pPr>
      <w:r>
        <w:t xml:space="preserve">Core FFO at or above the top end of the</w:t>
      </w:r>
      <w:r>
        <w:t xml:space="preserve"> </w:t>
      </w:r>
      <m:oMath>
        <m:r>
          <m:t>1.65</m:t>
        </m:r>
        <m:r>
          <m:rPr>
            <m:sty m:val="p"/>
          </m:rPr>
          <m:t>–</m:t>
        </m:r>
      </m:oMath>
      <w:r>
        <w:rPr>
          <w:b/>
          <w:bCs/>
        </w:rPr>
        <w:t xml:space="preserve">1.69</w:t>
      </w:r>
      <w:r>
        <w:t xml:space="preserve"> </w:t>
      </w:r>
      <w:r>
        <w:t xml:space="preserve">range.</w:t>
      </w:r>
    </w:p>
    <w:p>
      <w:pPr>
        <w:pStyle w:val="Compact"/>
        <w:numPr>
          <w:ilvl w:val="0"/>
          <w:numId w:val="1008"/>
        </w:numPr>
      </w:pPr>
      <w:r>
        <w:t xml:space="preserve">Leasing data that confirms April momentum carried into June and July.</w:t>
      </w:r>
    </w:p>
    <w:p>
      <w:pPr>
        <w:pStyle w:val="Compact"/>
        <w:numPr>
          <w:ilvl w:val="0"/>
          <w:numId w:val="1008"/>
        </w:numPr>
      </w:pPr>
      <w:r>
        <w:t xml:space="preserve">Improved new-lease spreads, solid occupancy, and stable-to-better renewal capture.</w:t>
      </w:r>
    </w:p>
    <w:p>
      <w:pPr>
        <w:pStyle w:val="Compact"/>
        <w:numPr>
          <w:ilvl w:val="0"/>
          <w:numId w:val="1008"/>
        </w:numPr>
      </w:pPr>
      <w:r>
        <w:t xml:space="preserve">Reaffirmed or raised full-year same-property revenue/NOI expectations.</w:t>
      </w:r>
    </w:p>
    <w:p>
      <w:pPr>
        <w:pStyle w:val="Compact"/>
        <w:numPr>
          <w:ilvl w:val="0"/>
          <w:numId w:val="1008"/>
        </w:numPr>
      </w:pPr>
      <w:r>
        <w:t xml:space="preserve">A clean close—or highly credible path to close—on the California portfolio sale.</w:t>
      </w:r>
    </w:p>
    <w:p>
      <w:pPr>
        <w:pStyle w:val="Compact"/>
        <w:numPr>
          <w:ilvl w:val="0"/>
          <w:numId w:val="1008"/>
        </w:numPr>
      </w:pPr>
      <w:r>
        <w:t xml:space="preserve">Attractive, accretive acquisition pipeline and/or a case for further buybacks.</w:t>
      </w:r>
    </w:p>
    <w:p>
      <w:pPr>
        <w:pStyle w:val="Compact"/>
        <w:numPr>
          <w:ilvl w:val="0"/>
          <w:numId w:val="1008"/>
        </w:numPr>
      </w:pPr>
      <w:r>
        <w:t xml:space="preserve">Evidence that Houston is stabilizing.</w:t>
      </w:r>
    </w:p>
    <w:bookmarkEnd w:id="19"/>
    <w:bookmarkStart w:id="20" w:name="potentially-negative"/>
    <w:p>
      <w:pPr>
        <w:pStyle w:val="Heading3"/>
      </w:pPr>
      <w:r>
        <w:t xml:space="preserve">Potentially negative</w:t>
      </w:r>
    </w:p>
    <w:p>
      <w:pPr>
        <w:pStyle w:val="Compact"/>
        <w:numPr>
          <w:ilvl w:val="0"/>
          <w:numId w:val="1009"/>
        </w:numPr>
      </w:pPr>
      <w:r>
        <w:t xml:space="preserve">Another delay, repricing, or increased execution risk around the California sale.</w:t>
      </w:r>
    </w:p>
    <w:p>
      <w:pPr>
        <w:pStyle w:val="Compact"/>
        <w:numPr>
          <w:ilvl w:val="0"/>
          <w:numId w:val="1009"/>
        </w:numPr>
      </w:pPr>
      <w:r>
        <w:t xml:space="preserve">July leasing that fails to improve enough to support the expected 3Q ramp.</w:t>
      </w:r>
    </w:p>
    <w:p>
      <w:pPr>
        <w:pStyle w:val="Compact"/>
        <w:numPr>
          <w:ilvl w:val="0"/>
          <w:numId w:val="1009"/>
        </w:numPr>
      </w:pPr>
      <w:r>
        <w:t xml:space="preserve">Persistent weakness in Houston or other high-supply Sunbelt markets.</w:t>
      </w:r>
    </w:p>
    <w:p>
      <w:pPr>
        <w:pStyle w:val="Compact"/>
        <w:numPr>
          <w:ilvl w:val="0"/>
          <w:numId w:val="1009"/>
        </w:numPr>
      </w:pPr>
      <w:r>
        <w:t xml:space="preserve">Higher concessions, declining occupancy, or weaker renewal conversion.</w:t>
      </w:r>
    </w:p>
    <w:p>
      <w:pPr>
        <w:pStyle w:val="Compact"/>
        <w:numPr>
          <w:ilvl w:val="0"/>
          <w:numId w:val="1009"/>
        </w:numPr>
      </w:pPr>
      <w:r>
        <w:t xml:space="preserve">Expense pressure that exceeds the seasonal items embedded in 2Q guidance.</w:t>
      </w:r>
    </w:p>
    <w:p>
      <w:pPr>
        <w:pStyle w:val="Compact"/>
        <w:numPr>
          <w:ilvl w:val="0"/>
          <w:numId w:val="1009"/>
        </w:numPr>
      </w:pPr>
      <w:r>
        <w:t xml:space="preserve">Increased leverage, a weak acquisition pipeline, or more uncertainty around 1031 execution/taxable gains.</w:t>
      </w:r>
    </w:p>
    <w:p>
      <w:r>
        <w:pict>
          <v:rect style="width:0;height:1.5pt" o:hralign="center" o:hrstd="t" o:hr="t"/>
        </w:pict>
      </w:r>
    </w:p>
    <w:bookmarkEnd w:id="20"/>
    <w:bookmarkEnd w:id="21"/>
    <w:bookmarkStart w:id="22" w:name="investor-takeaway"/>
    <w:p>
      <w:pPr>
        <w:pStyle w:val="Heading2"/>
      </w:pPr>
      <w:r>
        <w:t xml:space="preserve">Investor takeaway</w:t>
      </w:r>
    </w:p>
    <w:p>
      <w:pPr>
        <w:pStyle w:val="FirstParagraph"/>
      </w:pPr>
      <w:r>
        <w:t xml:space="preserve">CPT is transitioning from a period of supply-driven operating pressure toward what management expects will be a multi-year Sunbelt recovery. The company’s 2Q guidance is not demanding, and the June update indicates it was tracking to plan. Therefore, the true test is</w:t>
      </w:r>
      <w:r>
        <w:t xml:space="preserve"> </w:t>
      </w:r>
      <w:r>
        <w:rPr>
          <w:b/>
          <w:bCs/>
        </w:rPr>
        <w:t xml:space="preserve">forward-looking</w:t>
      </w:r>
      <w:r>
        <w:t xml:space="preserve">:</w:t>
      </w:r>
    </w:p>
    <w:p>
      <w:pPr>
        <w:pStyle w:val="BlockText"/>
      </w:pPr>
      <w:r>
        <w:t xml:space="preserve">Does CPT provide enough July leasing evidence to make its 3Q/4Q recovery outlook credible, while simultaneously demonstrating disciplined execution on the California disposition and capital redeployment plan?</w:t>
      </w:r>
    </w:p>
    <w:p>
      <w:pPr>
        <w:pStyle w:val="FirstParagraph"/>
      </w:pPr>
      <w:r>
        <w:t xml:space="preserve">A routine in-line quarter with convincing leasing and transaction updates could be constructive. Conversely, a technically in-line print accompanied by delayed asset-sale timing, a softer July trend, or a less confident recovery cadence would likely outweigh a small Core FFO beat.</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2026-07-29T19:42:03Z</dcterms:created>
  <dcterms:modified xsi:type="dcterms:W3CDTF">2026-07-29T19:42:03Z</dcterms:modified>
</cp:coreProperties>
</file>

<file path=docProps/custom.xml><?xml version="1.0" encoding="utf-8"?>
<Properties xmlns="http://schemas.openxmlformats.org/officeDocument/2006/custom-properties" xmlns:vt="http://schemas.openxmlformats.org/officeDocument/2006/docPropsVTypes"/>
</file>