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Camden Property Trust (CPT)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Camden Property Trust</w:t>
            </w:r>
          </w:p>
        </w:tc>
      </w:tr>
      <w:tr>
        <w:tc>
          <w:tcPr>
            <w:tcW w:type="dxa" w:w="4320"/>
          </w:tcPr>
          <w:p>
            <w:r>
              <w:rPr>
                <w:rFonts w:ascii="Calibri" w:hAnsi="Calibri"/>
                <w:b/>
                <w:sz w:val="22"/>
              </w:rPr>
              <w:t>Ticker</w:t>
            </w:r>
          </w:p>
        </w:tc>
        <w:tc>
          <w:tcPr>
            <w:tcW w:type="dxa" w:w="4320"/>
          </w:tcPr>
          <w:p>
            <w:r>
              <w:rPr>
                <w:rFonts w:ascii="Calibri" w:hAnsi="Calibri"/>
                <w:sz w:val="22"/>
              </w:rPr>
              <w:t>CPT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After market close, Thursday July 30, 2026</w:t>
            </w:r>
          </w:p>
        </w:tc>
      </w:tr>
      <w:tr>
        <w:tc>
          <w:tcPr>
            <w:tcW w:type="dxa" w:w="4320"/>
          </w:tcPr>
          <w:p>
            <w:r>
              <w:rPr>
                <w:rFonts w:ascii="Calibri" w:hAnsi="Calibri"/>
                <w:b/>
                <w:sz w:val="22"/>
              </w:rPr>
              <w:t>Conference Call</w:t>
            </w:r>
          </w:p>
        </w:tc>
        <w:tc>
          <w:tcPr>
            <w:tcW w:type="dxa" w:w="4320"/>
          </w:tcPr>
          <w:p>
            <w:r>
              <w:rPr>
                <w:rFonts w:ascii="Calibri" w:hAnsi="Calibri"/>
                <w:sz w:val="22"/>
              </w:rPr>
              <w:t>Friday July 31, 2026 — 11:00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IYR (iShares U.S. Real Estate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bar into Q2 is manageable — consensus Core FFO of ~$1.67 sits slightly below Q1's $1.70 actual — but the real swing factor is whether blended lease rate momentum seen in April (+100 bps vs. Q1) has held through the peak leasing season, and whether the California portfolio sale closed on schedule to unlock the next leg of capital redeployment.</w:t>
      </w:r>
    </w:p>
    <w:p>
      <w:r>
        <w:rPr>
          <w:rFonts w:ascii="Calibri" w:hAnsi="Calibri"/>
          <w:color w:val="525866"/>
          <w:sz w:val="22"/>
        </w:rPr>
        <w:t xml:space="preserve">Camden heads into Q2 2026 earnings with a setup that is modestly constructive but not without risk. </w:t>
      </w:r>
      <w:r>
        <w:rPr>
          <w:rFonts w:ascii="Calibri" w:hAnsi="Calibri"/>
          <w:b/>
          <w:color w:val="525866"/>
          <w:sz w:val="22"/>
        </w:rPr>
        <w:t>Consensus Core FFO of ~$1.67 per share</w:t>
      </w:r>
      <w:r>
        <w:rPr>
          <w:rFonts w:ascii="Calibri" w:hAnsi="Calibri"/>
          <w:color w:val="525866"/>
          <w:sz w:val="22"/>
        </w:rPr>
        <w:t xml:space="preserve"> sits at the low end of management's guided range of $1.65–$1.69, implying the bar is not particularly high — a repeat of Q1's pattern of modest beats driven by bad debt outperformance and expense timing could again push results above the midpoint. Management's tone at the Nareit REITweek conference in early June was reassuring, confirming that Q2 performance was tracking in line with guidance, and the company has not revised any full-year guidance since the April 30 call. Estimate revisions have been essentially flat since Q1 earnings, with the FY2026 Core FFO consensus hovering near the $6.75 midpoint, suggesting the Street is neither adding cushion nor pricing in upside. The stock has rallied ~11% since the Q1 print (from ~$105 to ~$116), outperforming IYR meaningfully, which raises the question of whether the easy re-rating is behind us. The </w:t>
      </w:r>
      <w:r>
        <w:rPr>
          <w:rFonts w:ascii="Calibri" w:hAnsi="Calibri"/>
          <w:b/>
          <w:color w:val="525866"/>
          <w:sz w:val="22"/>
        </w:rPr>
        <w:t>wildcard is the California portfolio sale</w:t>
      </w:r>
      <w:r>
        <w:rPr>
          <w:rFonts w:ascii="Calibri" w:hAnsi="Calibri"/>
          <w:color w:val="525866"/>
          <w:sz w:val="22"/>
        </w:rPr>
        <w:t>: management guided for a late June/early July close with one buyer in diligence, and confirmation of a clean close — along with any update on the pace of 1031 exchange reinvestment into Sunbelt acquisitions — could be the single biggest catalyst for the stock on results day.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same-store revenue growth of ~+0.1% and same-store NOI growth of ~-1.5% represent a low bar relative to management's own guidance midpoints (0.75% and -0.5%, respectively), suggesting room for a modest beat. </w:t>
      </w:r>
      <w:r>
        <w:rPr>
          <w:rFonts w:ascii="Calibri" w:hAnsi="Calibri"/>
          <w:b/>
          <w:color w:val="525866"/>
          <w:sz w:val="22"/>
        </w:rPr>
        <w:t>Blended lease rates are the bigger swing factor</w:t>
      </w:r>
      <w:r>
        <w:rPr>
          <w:rFonts w:ascii="Calibri" w:hAnsi="Calibri"/>
          <w:color w:val="525866"/>
          <w:sz w:val="22"/>
        </w:rPr>
        <w:t xml:space="preserve"> — any sequential improvement beyond the ~+100 bps April read would be a positive signal for the H2 recovery thesis.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 (Q2)</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Core FFO per Share — Diluted ($)</w:t>
            </w:r>
          </w:p>
        </w:tc>
        <w:tc>
          <w:tcPr>
            <w:tcW w:type="dxa" w:w="1234"/>
          </w:tcPr>
          <w:p>
            <w:r>
              <w:rPr>
                <w:rFonts w:ascii="Calibri" w:hAnsi="Calibri"/>
                <w:sz w:val="22"/>
              </w:rPr>
              <w:t>$1.70</w:t>
            </w:r>
          </w:p>
        </w:tc>
        <w:tc>
          <w:tcPr>
            <w:tcW w:type="dxa" w:w="1234"/>
          </w:tcPr>
          <w:p>
            <w:r>
              <w:rPr>
                <w:rFonts w:ascii="Calibri" w:hAnsi="Calibri"/>
                <w:sz w:val="22"/>
              </w:rPr>
              <w:t>$1.70</w:t>
            </w:r>
          </w:p>
        </w:tc>
        <w:tc>
          <w:tcPr>
            <w:tcW w:type="dxa" w:w="1234"/>
          </w:tcPr>
          <w:p>
            <w:r>
              <w:rPr>
                <w:rFonts w:ascii="Calibri" w:hAnsi="Calibri"/>
                <w:sz w:val="22"/>
              </w:rPr>
              <w:t>$1.67</w:t>
            </w:r>
          </w:p>
        </w:tc>
        <w:tc>
          <w:tcPr>
            <w:tcW w:type="dxa" w:w="1234"/>
          </w:tcPr>
          <w:p>
            <w:r>
              <w:rPr>
                <w:rFonts w:ascii="Calibri" w:hAnsi="Calibri"/>
                <w:sz w:val="22"/>
              </w:rPr>
              <w:t>-1.8%</w:t>
            </w:r>
          </w:p>
        </w:tc>
        <w:tc>
          <w:tcPr>
            <w:tcW w:type="dxa" w:w="1234"/>
          </w:tcPr>
          <w:p>
            <w:r>
              <w:rPr>
                <w:rFonts w:ascii="Calibri" w:hAnsi="Calibri"/>
                <w:sz w:val="22"/>
              </w:rPr>
              <w:t>$1.65–$1.69 ($1.67 mid)</w:t>
            </w:r>
          </w:p>
        </w:tc>
        <w:tc>
          <w:tcPr>
            <w:tcW w:type="dxa" w:w="1234"/>
          </w:tcPr>
          <w:p>
            <w:r>
              <w:rPr>
                <w:rFonts w:ascii="Calibri" w:hAnsi="Calibri"/>
                <w:sz w:val="22"/>
              </w:rPr>
              <w:t>~0% (at midpoint)</w:t>
            </w:r>
          </w:p>
        </w:tc>
      </w:tr>
      <w:tr>
        <w:tc>
          <w:tcPr>
            <w:tcW w:type="dxa" w:w="1234"/>
          </w:tcPr>
          <w:p>
            <w:r>
              <w:rPr>
                <w:rFonts w:ascii="Calibri" w:hAnsi="Calibri"/>
                <w:sz w:val="22"/>
              </w:rPr>
              <w:t>Property Revenues ($M)</w:t>
            </w:r>
          </w:p>
        </w:tc>
        <w:tc>
          <w:tcPr>
            <w:tcW w:type="dxa" w:w="1234"/>
          </w:tcPr>
          <w:p>
            <w:r>
              <w:rPr>
                <w:rFonts w:ascii="Calibri" w:hAnsi="Calibri"/>
                <w:sz w:val="22"/>
              </w:rPr>
              <w:t>$388.8M</w:t>
            </w:r>
          </w:p>
        </w:tc>
        <w:tc>
          <w:tcPr>
            <w:tcW w:type="dxa" w:w="1234"/>
          </w:tcPr>
          <w:p>
            <w:r>
              <w:rPr>
                <w:rFonts w:ascii="Calibri" w:hAnsi="Calibri"/>
                <w:sz w:val="22"/>
              </w:rPr>
              <w:t>$396.5M</w:t>
            </w:r>
          </w:p>
        </w:tc>
        <w:tc>
          <w:tcPr>
            <w:tcW w:type="dxa" w:w="1234"/>
          </w:tcPr>
          <w:p>
            <w:r>
              <w:rPr>
                <w:rFonts w:ascii="Calibri" w:hAnsi="Calibri"/>
                <w:sz w:val="22"/>
              </w:rPr>
              <w:t>$391.2M</w:t>
            </w:r>
          </w:p>
        </w:tc>
        <w:tc>
          <w:tcPr>
            <w:tcW w:type="dxa" w:w="1234"/>
          </w:tcPr>
          <w:p>
            <w:r>
              <w:rPr>
                <w:rFonts w:ascii="Calibri" w:hAnsi="Calibri"/>
                <w:sz w:val="22"/>
              </w:rPr>
              <w:t>-1.3%</w:t>
            </w:r>
          </w:p>
        </w:tc>
        <w:tc>
          <w:tcPr>
            <w:tcW w:type="dxa" w:w="1234"/>
          </w:tcPr>
          <w:p>
            <w:r>
              <w:rPr>
                <w:rFonts w:ascii="Calibri" w:hAnsi="Calibri"/>
                <w:sz w:val="22"/>
              </w:rPr>
              <w:t>N/A (no specific Q2 rev. guidance)</w:t>
            </w:r>
          </w:p>
        </w:tc>
        <w:tc>
          <w:tcPr>
            <w:tcW w:type="dxa" w:w="1234"/>
          </w:tcPr>
          <w:p>
            <w:r>
              <w:rPr>
                <w:rFonts w:ascii="Calibri" w:hAnsi="Calibri"/>
                <w:sz w:val="22"/>
              </w:rPr>
              <w:t>N/A</w:t>
            </w:r>
          </w:p>
        </w:tc>
      </w:tr>
      <w:tr>
        <w:tc>
          <w:tcPr>
            <w:tcW w:type="dxa" w:w="1234"/>
          </w:tcPr>
          <w:p>
            <w:r>
              <w:rPr>
                <w:rFonts w:ascii="Calibri" w:hAnsi="Calibri"/>
                <w:sz w:val="22"/>
              </w:rPr>
              <w:t>Same-Store Revenue Growth YoY (%)</w:t>
            </w:r>
          </w:p>
        </w:tc>
        <w:tc>
          <w:tcPr>
            <w:tcW w:type="dxa" w:w="1234"/>
          </w:tcPr>
          <w:p>
            <w:r>
              <w:rPr>
                <w:rFonts w:ascii="Calibri" w:hAnsi="Calibri"/>
                <w:sz w:val="22"/>
              </w:rPr>
              <w:t>+0.2%</w:t>
            </w:r>
          </w:p>
        </w:tc>
        <w:tc>
          <w:tcPr>
            <w:tcW w:type="dxa" w:w="1234"/>
          </w:tcPr>
          <w:p>
            <w:r>
              <w:rPr>
                <w:rFonts w:ascii="Calibri" w:hAnsi="Calibri"/>
                <w:sz w:val="22"/>
              </w:rPr>
              <w:t>+1.0%</w:t>
            </w:r>
          </w:p>
        </w:tc>
        <w:tc>
          <w:tcPr>
            <w:tcW w:type="dxa" w:w="1234"/>
          </w:tcPr>
          <w:p>
            <w:r>
              <w:rPr>
                <w:rFonts w:ascii="Calibri" w:hAnsi="Calibri"/>
                <w:sz w:val="22"/>
              </w:rPr>
              <w:t>+0.1%</w:t>
            </w:r>
          </w:p>
        </w:tc>
        <w:tc>
          <w:tcPr>
            <w:tcW w:type="dxa" w:w="1234"/>
          </w:tcPr>
          <w:p>
            <w:r>
              <w:rPr>
                <w:rFonts w:ascii="Calibri" w:hAnsi="Calibri"/>
                <w:sz w:val="22"/>
              </w:rPr>
              <w:t>-90 bps</w:t>
            </w:r>
          </w:p>
        </w:tc>
        <w:tc>
          <w:tcPr>
            <w:tcW w:type="dxa" w:w="1234"/>
          </w:tcPr>
          <w:p>
            <w:r>
              <w:rPr>
                <w:rFonts w:ascii="Calibri" w:hAnsi="Calibri"/>
                <w:sz w:val="22"/>
              </w:rPr>
              <w:t>FY mid: +0.75%</w:t>
            </w:r>
          </w:p>
        </w:tc>
        <w:tc>
          <w:tcPr>
            <w:tcW w:type="dxa" w:w="1234"/>
          </w:tcPr>
          <w:p>
            <w:r>
              <w:rPr>
                <w:rFonts w:ascii="Calibri" w:hAnsi="Calibri"/>
                <w:sz w:val="22"/>
              </w:rPr>
              <w:t>Below FY mid</w:t>
            </w:r>
          </w:p>
        </w:tc>
      </w:tr>
      <w:tr>
        <w:tc>
          <w:tcPr>
            <w:tcW w:type="dxa" w:w="1234"/>
          </w:tcPr>
          <w:p>
            <w:r>
              <w:rPr>
                <w:rFonts w:ascii="Calibri" w:hAnsi="Calibri"/>
                <w:sz w:val="22"/>
              </w:rPr>
              <w:t>Same-Store NOI Growth YoY (%)</w:t>
            </w:r>
          </w:p>
        </w:tc>
        <w:tc>
          <w:tcPr>
            <w:tcW w:type="dxa" w:w="1234"/>
          </w:tcPr>
          <w:p>
            <w:r>
              <w:rPr>
                <w:rFonts w:ascii="Calibri" w:hAnsi="Calibri"/>
                <w:sz w:val="22"/>
              </w:rPr>
              <w:t>-0.7%</w:t>
            </w:r>
          </w:p>
        </w:tc>
        <w:tc>
          <w:tcPr>
            <w:tcW w:type="dxa" w:w="1234"/>
          </w:tcPr>
          <w:p>
            <w:r>
              <w:rPr>
                <w:rFonts w:ascii="Calibri" w:hAnsi="Calibri"/>
                <w:sz w:val="22"/>
              </w:rPr>
              <w:t>+0.2%</w:t>
            </w:r>
          </w:p>
        </w:tc>
        <w:tc>
          <w:tcPr>
            <w:tcW w:type="dxa" w:w="1234"/>
          </w:tcPr>
          <w:p>
            <w:r>
              <w:rPr>
                <w:rFonts w:ascii="Calibri" w:hAnsi="Calibri"/>
                <w:sz w:val="22"/>
              </w:rPr>
              <w:t>-1.5%</w:t>
            </w:r>
          </w:p>
        </w:tc>
        <w:tc>
          <w:tcPr>
            <w:tcW w:type="dxa" w:w="1234"/>
          </w:tcPr>
          <w:p>
            <w:r>
              <w:rPr>
                <w:rFonts w:ascii="Calibri" w:hAnsi="Calibri"/>
                <w:sz w:val="22"/>
              </w:rPr>
              <w:t>-170 bps</w:t>
            </w:r>
          </w:p>
        </w:tc>
        <w:tc>
          <w:tcPr>
            <w:tcW w:type="dxa" w:w="1234"/>
          </w:tcPr>
          <w:p>
            <w:r>
              <w:rPr>
                <w:rFonts w:ascii="Calibri" w:hAnsi="Calibri"/>
                <w:sz w:val="22"/>
              </w:rPr>
              <w:t>FY mid: -0.5%</w:t>
            </w:r>
          </w:p>
        </w:tc>
        <w:tc>
          <w:tcPr>
            <w:tcW w:type="dxa" w:w="1234"/>
          </w:tcPr>
          <w:p>
            <w:r>
              <w:rPr>
                <w:rFonts w:ascii="Calibri" w:hAnsi="Calibri"/>
                <w:sz w:val="22"/>
              </w:rPr>
              <w:t>Below FY mid</w:t>
            </w:r>
          </w:p>
        </w:tc>
      </w:tr>
      <w:tr>
        <w:tc>
          <w:tcPr>
            <w:tcW w:type="dxa" w:w="1234"/>
          </w:tcPr>
          <w:p>
            <w:r>
              <w:rPr>
                <w:rFonts w:ascii="Calibri" w:hAnsi="Calibri"/>
                <w:sz w:val="22"/>
              </w:rPr>
              <w:t>Same-Store Expense Growth YoY (%)</w:t>
            </w:r>
          </w:p>
        </w:tc>
        <w:tc>
          <w:tcPr>
            <w:tcW w:type="dxa" w:w="1234"/>
          </w:tcPr>
          <w:p>
            <w:r>
              <w:rPr>
                <w:rFonts w:ascii="Calibri" w:hAnsi="Calibri"/>
                <w:sz w:val="22"/>
              </w:rPr>
              <w:t>+1.9%</w:t>
            </w:r>
          </w:p>
        </w:tc>
        <w:tc>
          <w:tcPr>
            <w:tcW w:type="dxa" w:w="1234"/>
          </w:tcPr>
          <w:p>
            <w:r>
              <w:rPr>
                <w:rFonts w:ascii="Calibri" w:hAnsi="Calibri"/>
                <w:sz w:val="22"/>
              </w:rPr>
              <w:t>+2.4%</w:t>
            </w:r>
          </w:p>
        </w:tc>
        <w:tc>
          <w:tcPr>
            <w:tcW w:type="dxa" w:w="1234"/>
          </w:tcPr>
          <w:p>
            <w:r>
              <w:rPr>
                <w:rFonts w:ascii="Calibri" w:hAnsi="Calibri"/>
                <w:sz w:val="22"/>
              </w:rPr>
              <w:t>+2.9%</w:t>
            </w:r>
          </w:p>
        </w:tc>
        <w:tc>
          <w:tcPr>
            <w:tcW w:type="dxa" w:w="1234"/>
          </w:tcPr>
          <w:p>
            <w:r>
              <w:rPr>
                <w:rFonts w:ascii="Calibri" w:hAnsi="Calibri"/>
                <w:sz w:val="22"/>
              </w:rPr>
              <w:t>+50 bps</w:t>
            </w:r>
          </w:p>
        </w:tc>
        <w:tc>
          <w:tcPr>
            <w:tcW w:type="dxa" w:w="1234"/>
          </w:tcPr>
          <w:p>
            <w:r>
              <w:rPr>
                <w:rFonts w:ascii="Calibri" w:hAnsi="Calibri"/>
                <w:sz w:val="22"/>
              </w:rPr>
              <w:t>FY mid: +3.0%</w:t>
            </w:r>
          </w:p>
        </w:tc>
        <w:tc>
          <w:tcPr>
            <w:tcW w:type="dxa" w:w="1234"/>
          </w:tcPr>
          <w:p>
            <w:r>
              <w:rPr>
                <w:rFonts w:ascii="Calibri" w:hAnsi="Calibri"/>
                <w:sz w:val="22"/>
              </w:rPr>
              <w:t>~At FY mid</w:t>
            </w:r>
          </w:p>
        </w:tc>
      </w:tr>
      <w:tr>
        <w:tc>
          <w:tcPr>
            <w:tcW w:type="dxa" w:w="1234"/>
          </w:tcPr>
          <w:p>
            <w:r>
              <w:rPr>
                <w:rFonts w:ascii="Calibri" w:hAnsi="Calibri"/>
                <w:sz w:val="22"/>
              </w:rPr>
              <w:t>Same-Store Occupancy (%)</w:t>
            </w:r>
          </w:p>
        </w:tc>
        <w:tc>
          <w:tcPr>
            <w:tcW w:type="dxa" w:w="1234"/>
          </w:tcPr>
          <w:p>
            <w:r>
              <w:rPr>
                <w:rFonts w:ascii="Calibri" w:hAnsi="Calibri"/>
                <w:sz w:val="22"/>
              </w:rPr>
              <w:t>95.1%</w:t>
            </w:r>
          </w:p>
        </w:tc>
        <w:tc>
          <w:tcPr>
            <w:tcW w:type="dxa" w:w="1234"/>
          </w:tcPr>
          <w:p>
            <w:r>
              <w:rPr>
                <w:rFonts w:ascii="Calibri" w:hAnsi="Calibri"/>
                <w:sz w:val="22"/>
              </w:rPr>
              <w:t>95.6%</w:t>
            </w:r>
          </w:p>
        </w:tc>
        <w:tc>
          <w:tcPr>
            <w:tcW w:type="dxa" w:w="1234"/>
          </w:tcPr>
          <w:p>
            <w:r>
              <w:rPr>
                <w:rFonts w:ascii="Calibri" w:hAnsi="Calibri"/>
                <w:sz w:val="22"/>
              </w:rPr>
              <w:t>95.4%</w:t>
            </w:r>
          </w:p>
        </w:tc>
        <w:tc>
          <w:tcPr>
            <w:tcW w:type="dxa" w:w="1234"/>
          </w:tcPr>
          <w:p>
            <w:r>
              <w:rPr>
                <w:rFonts w:ascii="Calibri" w:hAnsi="Calibri"/>
                <w:sz w:val="22"/>
              </w:rPr>
              <w:t>-20 bps</w:t>
            </w:r>
          </w:p>
        </w:tc>
        <w:tc>
          <w:tcPr>
            <w:tcW w:type="dxa" w:w="1234"/>
          </w:tcPr>
          <w:p>
            <w:r>
              <w:rPr>
                <w:rFonts w:ascii="Calibri" w:hAnsi="Calibri"/>
                <w:sz w:val="22"/>
              </w:rPr>
              <w:t>~Mid-95% (April: 95.4%)</w:t>
            </w:r>
          </w:p>
        </w:tc>
        <w:tc>
          <w:tcPr>
            <w:tcW w:type="dxa" w:w="1234"/>
          </w:tcPr>
          <w:p>
            <w:r>
              <w:rPr>
                <w:rFonts w:ascii="Calibri" w:hAnsi="Calibri"/>
                <w:sz w:val="22"/>
              </w:rPr>
              <w:t>~At guidance</w:t>
            </w:r>
          </w:p>
        </w:tc>
      </w:tr>
      <w:tr>
        <w:tc>
          <w:tcPr>
            <w:tcW w:type="dxa" w:w="1234"/>
          </w:tcPr>
          <w:p>
            <w:r>
              <w:rPr>
                <w:rFonts w:ascii="Calibri" w:hAnsi="Calibri"/>
                <w:sz w:val="22"/>
              </w:rPr>
              <w:t>Effective Blended Lease Rate — Same Store (%)</w:t>
            </w:r>
          </w:p>
        </w:tc>
        <w:tc>
          <w:tcPr>
            <w:tcW w:type="dxa" w:w="1234"/>
          </w:tcPr>
          <w:p>
            <w:r>
              <w:rPr>
                <w:rFonts w:ascii="Calibri" w:hAnsi="Calibri"/>
                <w:sz w:val="22"/>
              </w:rPr>
              <w:t>-1.4%</w:t>
            </w:r>
          </w:p>
        </w:tc>
        <w:tc>
          <w:tcPr>
            <w:tcW w:type="dxa" w:w="1234"/>
          </w:tcPr>
          <w:p>
            <w:r>
              <w:rPr>
                <w:rFonts w:ascii="Calibri" w:hAnsi="Calibri"/>
                <w:sz w:val="22"/>
              </w:rPr>
              <w:t>+0.7%</w:t>
            </w:r>
          </w:p>
        </w:tc>
        <w:tc>
          <w:tcPr>
            <w:tcW w:type="dxa" w:w="1234"/>
          </w:tcPr>
          <w:p>
            <w:r>
              <w:rPr>
                <w:rFonts w:ascii="Calibri" w:hAnsi="Calibri"/>
                <w:sz w:val="22"/>
              </w:rPr>
              <w:t>+0.7%</w:t>
            </w:r>
          </w:p>
        </w:tc>
        <w:tc>
          <w:tcPr>
            <w:tcW w:type="dxa" w:w="1234"/>
          </w:tcPr>
          <w:p>
            <w:r>
              <w:rPr>
                <w:rFonts w:ascii="Calibri" w:hAnsi="Calibri"/>
                <w:sz w:val="22"/>
              </w:rPr>
              <w:t>Flat YoY</w:t>
            </w:r>
          </w:p>
        </w:tc>
        <w:tc>
          <w:tcPr>
            <w:tcW w:type="dxa" w:w="1234"/>
          </w:tcPr>
          <w:p>
            <w:r>
              <w:rPr>
                <w:rFonts w:ascii="Calibri" w:hAnsi="Calibri"/>
                <w:sz w:val="22"/>
              </w:rPr>
              <w:t>Improving from Q1 (+100 bps vs. Q1 in April)</w:t>
            </w:r>
          </w:p>
        </w:tc>
        <w:tc>
          <w:tcPr>
            <w:tcW w:type="dxa" w:w="1234"/>
          </w:tcPr>
          <w:p>
            <w:r>
              <w:rPr>
                <w:rFonts w:ascii="Calibri" w:hAnsi="Calibri"/>
                <w:sz w:val="22"/>
              </w:rPr>
              <w:t>~At implied level</w:t>
            </w:r>
          </w:p>
        </w:tc>
      </w:tr>
    </w:tbl>
    <w:p>
      <w:r>
        <w:rPr>
          <w:rFonts w:ascii="Calibri" w:hAnsi="Calibri"/>
          <w:i/>
          <w:color w:val="525866"/>
          <w:sz w:val="22"/>
        </w:rPr>
        <w:t>Sources: Visible Alpha Consensus and Actuals Data; Camden Property Trust Q1 2026 Earnings Call Transcript (May 1, 2026). All consensus figures as of July 29, 2026.</w:t>
      </w:r>
    </w:p>
    <w:p>
      <w:pPr>
        <w:pStyle w:val="Heading3"/>
      </w:pPr>
      <w:r>
        <w:rPr>
          <w:rFonts w:ascii="Calibri" w:hAnsi="Calibri"/>
          <w:b/>
          <w:color w:val="3B4259"/>
          <w:sz w:val="24"/>
        </w:rPr>
        <w:t>Table 2 — Beat/Miss History: Core FFO per Share &amp; Same-Store NOI Growth (Last 8 Quarters)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Core FFO Reported</w:t>
            </w:r>
          </w:p>
        </w:tc>
        <w:tc>
          <w:tcPr>
            <w:tcW w:type="dxa" w:w="1234"/>
            <w:shd w:val="clear" w:color="auto" w:fill="3B4259"/>
          </w:tcPr>
          <w:p>
            <w:r>
              <w:rPr>
                <w:rFonts w:ascii="Calibri" w:hAnsi="Calibri"/>
                <w:b/>
                <w:color w:val="FFFFFF"/>
                <w:sz w:val="22"/>
              </w:rPr>
              <w:t>Core FFO Consensus</w:t>
            </w:r>
          </w:p>
        </w:tc>
        <w:tc>
          <w:tcPr>
            <w:tcW w:type="dxa" w:w="1234"/>
            <w:shd w:val="clear" w:color="auto" w:fill="3B4259"/>
          </w:tcPr>
          <w:p>
            <w:r>
              <w:rPr>
                <w:rFonts w:ascii="Calibri" w:hAnsi="Calibri"/>
                <w:b/>
                <w:color w:val="FFFFFF"/>
                <w:sz w:val="22"/>
              </w:rPr>
              <w:t>FFO Surprise %</w:t>
            </w:r>
          </w:p>
        </w:tc>
        <w:tc>
          <w:tcPr>
            <w:tcW w:type="dxa" w:w="1234"/>
            <w:shd w:val="clear" w:color="auto" w:fill="3B4259"/>
          </w:tcPr>
          <w:p>
            <w:r>
              <w:rPr>
                <w:rFonts w:ascii="Calibri" w:hAnsi="Calibri"/>
                <w:b/>
                <w:color w:val="FFFFFF"/>
                <w:sz w:val="22"/>
              </w:rPr>
              <w:t>SS NOI Growth Reported</w:t>
            </w:r>
          </w:p>
        </w:tc>
        <w:tc>
          <w:tcPr>
            <w:tcW w:type="dxa" w:w="1234"/>
            <w:shd w:val="clear" w:color="auto" w:fill="3B4259"/>
          </w:tcPr>
          <w:p>
            <w:r>
              <w:rPr>
                <w:rFonts w:ascii="Calibri" w:hAnsi="Calibri"/>
                <w:b/>
                <w:color w:val="FFFFFF"/>
                <w:sz w:val="22"/>
              </w:rPr>
              <w:t>SS NOI Cons.</w:t>
            </w:r>
          </w:p>
        </w:tc>
        <w:tc>
          <w:tcPr>
            <w:tcW w:type="dxa" w:w="1234"/>
            <w:shd w:val="clear" w:color="auto" w:fill="3B4259"/>
          </w:tcPr>
          <w:p>
            <w:r>
              <w:rPr>
                <w:rFonts w:ascii="Calibri" w:hAnsi="Calibri"/>
                <w:b/>
                <w:color w:val="FFFFFF"/>
                <w:sz w:val="22"/>
              </w:rPr>
              <w:t>NOI Surprise</w:t>
            </w:r>
          </w:p>
        </w:tc>
      </w:tr>
      <w:tr>
        <w:tc>
          <w:tcPr>
            <w:tcW w:type="dxa" w:w="1234"/>
          </w:tcPr>
          <w:p>
            <w:r>
              <w:rPr>
                <w:rFonts w:ascii="Calibri" w:hAnsi="Calibri"/>
                <w:sz w:val="22"/>
              </w:rPr>
              <w:t>Q1 2026</w:t>
            </w:r>
          </w:p>
        </w:tc>
        <w:tc>
          <w:tcPr>
            <w:tcW w:type="dxa" w:w="1234"/>
          </w:tcPr>
          <w:p>
            <w:r>
              <w:rPr>
                <w:rFonts w:ascii="Calibri" w:hAnsi="Calibri"/>
                <w:b/>
                <w:color w:val="30A46C"/>
                <w:sz w:val="22"/>
              </w:rPr>
              <w:t>$1.70</w:t>
            </w:r>
          </w:p>
        </w:tc>
        <w:tc>
          <w:tcPr>
            <w:tcW w:type="dxa" w:w="1234"/>
          </w:tcPr>
          <w:p>
            <w:r>
              <w:rPr>
                <w:rFonts w:ascii="Calibri" w:hAnsi="Calibri"/>
                <w:sz w:val="22"/>
              </w:rPr>
              <w:t>$1.67</w:t>
            </w:r>
          </w:p>
        </w:tc>
        <w:tc>
          <w:tcPr>
            <w:tcW w:type="dxa" w:w="1234"/>
          </w:tcPr>
          <w:p>
            <w:r>
              <w:rPr>
                <w:rFonts w:ascii="Calibri" w:hAnsi="Calibri"/>
                <w:b/>
                <w:color w:val="30A46C"/>
                <w:sz w:val="22"/>
              </w:rPr>
              <w:t>+1.8%</w:t>
            </w:r>
          </w:p>
        </w:tc>
        <w:tc>
          <w:tcPr>
            <w:tcW w:type="dxa" w:w="1234"/>
          </w:tcPr>
          <w:p>
            <w:r>
              <w:rPr>
                <w:rFonts w:ascii="Calibri" w:hAnsi="Calibri"/>
                <w:sz w:val="22"/>
              </w:rPr>
              <w:t>-0.7%</w:t>
            </w:r>
          </w:p>
        </w:tc>
        <w:tc>
          <w:tcPr>
            <w:tcW w:type="dxa" w:w="1234"/>
          </w:tcPr>
          <w:p>
            <w:r>
              <w:rPr>
                <w:rFonts w:ascii="Calibri" w:hAnsi="Calibri"/>
                <w:sz w:val="22"/>
              </w:rPr>
              <w:t>-1.4%</w:t>
            </w:r>
          </w:p>
        </w:tc>
        <w:tc>
          <w:tcPr>
            <w:tcW w:type="dxa" w:w="1234"/>
          </w:tcPr>
          <w:p>
            <w:r>
              <w:rPr>
                <w:rFonts w:ascii="Calibri" w:hAnsi="Calibri"/>
                <w:b/>
                <w:color w:val="30A46C"/>
                <w:sz w:val="22"/>
              </w:rPr>
              <w:t>Beat</w:t>
            </w:r>
          </w:p>
        </w:tc>
      </w:tr>
      <w:tr>
        <w:tc>
          <w:tcPr>
            <w:tcW w:type="dxa" w:w="1234"/>
          </w:tcPr>
          <w:p>
            <w:r>
              <w:rPr>
                <w:rFonts w:ascii="Calibri" w:hAnsi="Calibri"/>
                <w:sz w:val="22"/>
              </w:rPr>
              <w:t>Q4 2025</w:t>
            </w:r>
          </w:p>
        </w:tc>
        <w:tc>
          <w:tcPr>
            <w:tcW w:type="dxa" w:w="1234"/>
          </w:tcPr>
          <w:p>
            <w:r>
              <w:rPr>
                <w:rFonts w:ascii="Calibri" w:hAnsi="Calibri"/>
                <w:b/>
                <w:color w:val="30A46C"/>
                <w:sz w:val="22"/>
              </w:rPr>
              <w:t>$1.76</w:t>
            </w:r>
          </w:p>
        </w:tc>
        <w:tc>
          <w:tcPr>
            <w:tcW w:type="dxa" w:w="1234"/>
          </w:tcPr>
          <w:p>
            <w:r>
              <w:rPr>
                <w:rFonts w:ascii="Calibri" w:hAnsi="Calibri"/>
                <w:sz w:val="22"/>
              </w:rPr>
              <w:t>$1.73</w:t>
            </w:r>
          </w:p>
        </w:tc>
        <w:tc>
          <w:tcPr>
            <w:tcW w:type="dxa" w:w="1234"/>
          </w:tcPr>
          <w:p>
            <w:r>
              <w:rPr>
                <w:rFonts w:ascii="Calibri" w:hAnsi="Calibri"/>
                <w:b/>
                <w:color w:val="30A46C"/>
                <w:sz w:val="22"/>
              </w:rPr>
              <w:t>+1.7%</w:t>
            </w:r>
          </w:p>
        </w:tc>
        <w:tc>
          <w:tcPr>
            <w:tcW w:type="dxa" w:w="1234"/>
          </w:tcPr>
          <w:p>
            <w:r>
              <w:rPr>
                <w:rFonts w:ascii="Calibri" w:hAnsi="Calibri"/>
                <w:sz w:val="22"/>
              </w:rPr>
              <w:t>-0.04%</w:t>
            </w:r>
          </w:p>
        </w:tc>
        <w:tc>
          <w:tcPr>
            <w:tcW w:type="dxa" w:w="1234"/>
          </w:tcPr>
          <w:p>
            <w:r>
              <w:rPr>
                <w:rFonts w:ascii="Calibri" w:hAnsi="Calibri"/>
                <w:sz w:val="22"/>
              </w:rPr>
              <w:t>+0.09%</w:t>
            </w:r>
          </w:p>
        </w:tc>
        <w:tc>
          <w:tcPr>
            <w:tcW w:type="dxa" w:w="1234"/>
          </w:tcPr>
          <w:p>
            <w:r>
              <w:rPr>
                <w:rFonts w:ascii="Calibri" w:hAnsi="Calibri"/>
                <w:b/>
                <w:color w:val="E5484D"/>
                <w:sz w:val="22"/>
              </w:rPr>
              <w:t>Miss</w:t>
            </w:r>
          </w:p>
        </w:tc>
      </w:tr>
      <w:tr>
        <w:tc>
          <w:tcPr>
            <w:tcW w:type="dxa" w:w="1234"/>
          </w:tcPr>
          <w:p>
            <w:r>
              <w:rPr>
                <w:rFonts w:ascii="Calibri" w:hAnsi="Calibri"/>
                <w:sz w:val="22"/>
              </w:rPr>
              <w:t>Q3 2025</w:t>
            </w:r>
          </w:p>
        </w:tc>
        <w:tc>
          <w:tcPr>
            <w:tcW w:type="dxa" w:w="1234"/>
          </w:tcPr>
          <w:p>
            <w:r>
              <w:rPr>
                <w:rFonts w:ascii="Calibri" w:hAnsi="Calibri"/>
                <w:b/>
                <w:color w:val="30A46C"/>
                <w:sz w:val="22"/>
              </w:rPr>
              <w:t>$1.70</w:t>
            </w:r>
          </w:p>
        </w:tc>
        <w:tc>
          <w:tcPr>
            <w:tcW w:type="dxa" w:w="1234"/>
          </w:tcPr>
          <w:p>
            <w:r>
              <w:rPr>
                <w:rFonts w:ascii="Calibri" w:hAnsi="Calibri"/>
                <w:sz w:val="22"/>
              </w:rPr>
              <w:t>$1.69</w:t>
            </w:r>
          </w:p>
        </w:tc>
        <w:tc>
          <w:tcPr>
            <w:tcW w:type="dxa" w:w="1234"/>
          </w:tcPr>
          <w:p>
            <w:r>
              <w:rPr>
                <w:rFonts w:ascii="Calibri" w:hAnsi="Calibri"/>
                <w:b/>
                <w:color w:val="30A46C"/>
                <w:sz w:val="22"/>
              </w:rPr>
              <w:t>+0.6%</w:t>
            </w:r>
          </w:p>
        </w:tc>
        <w:tc>
          <w:tcPr>
            <w:tcW w:type="dxa" w:w="1234"/>
          </w:tcPr>
          <w:p>
            <w:r>
              <w:rPr>
                <w:rFonts w:ascii="Calibri" w:hAnsi="Calibri"/>
                <w:sz w:val="22"/>
              </w:rPr>
              <w:t>-0.36%</w:t>
            </w:r>
          </w:p>
        </w:tc>
        <w:tc>
          <w:tcPr>
            <w:tcW w:type="dxa" w:w="1234"/>
          </w:tcPr>
          <w:p>
            <w:r>
              <w:rPr>
                <w:rFonts w:ascii="Calibri" w:hAnsi="Calibri"/>
                <w:sz w:val="22"/>
              </w:rPr>
              <w:t>-0.25%</w:t>
            </w:r>
          </w:p>
        </w:tc>
        <w:tc>
          <w:tcPr>
            <w:tcW w:type="dxa" w:w="1234"/>
          </w:tcPr>
          <w:p>
            <w:r>
              <w:rPr>
                <w:rFonts w:ascii="Calibri" w:hAnsi="Calibri"/>
                <w:b/>
                <w:color w:val="E5484D"/>
                <w:sz w:val="22"/>
              </w:rPr>
              <w:t>Miss</w:t>
            </w:r>
          </w:p>
        </w:tc>
      </w:tr>
      <w:tr>
        <w:tc>
          <w:tcPr>
            <w:tcW w:type="dxa" w:w="1234"/>
          </w:tcPr>
          <w:p>
            <w:r>
              <w:rPr>
                <w:rFonts w:ascii="Calibri" w:hAnsi="Calibri"/>
                <w:sz w:val="22"/>
              </w:rPr>
              <w:t>Q2 2025</w:t>
            </w:r>
          </w:p>
        </w:tc>
        <w:tc>
          <w:tcPr>
            <w:tcW w:type="dxa" w:w="1234"/>
          </w:tcPr>
          <w:p>
            <w:r>
              <w:rPr>
                <w:rFonts w:ascii="Calibri" w:hAnsi="Calibri"/>
                <w:b/>
                <w:color w:val="30A46C"/>
                <w:sz w:val="22"/>
              </w:rPr>
              <w:t>$1.70</w:t>
            </w:r>
          </w:p>
        </w:tc>
        <w:tc>
          <w:tcPr>
            <w:tcW w:type="dxa" w:w="1234"/>
          </w:tcPr>
          <w:p>
            <w:r>
              <w:rPr>
                <w:rFonts w:ascii="Calibri" w:hAnsi="Calibri"/>
                <w:sz w:val="22"/>
              </w:rPr>
              <w:t>$1.69</w:t>
            </w:r>
          </w:p>
        </w:tc>
        <w:tc>
          <w:tcPr>
            <w:tcW w:type="dxa" w:w="1234"/>
          </w:tcPr>
          <w:p>
            <w:r>
              <w:rPr>
                <w:rFonts w:ascii="Calibri" w:hAnsi="Calibri"/>
                <w:b/>
                <w:color w:val="30A46C"/>
                <w:sz w:val="22"/>
              </w:rPr>
              <w:t>+0.6%</w:t>
            </w:r>
          </w:p>
        </w:tc>
        <w:tc>
          <w:tcPr>
            <w:tcW w:type="dxa" w:w="1234"/>
          </w:tcPr>
          <w:p>
            <w:r>
              <w:rPr>
                <w:rFonts w:ascii="Calibri" w:hAnsi="Calibri"/>
                <w:sz w:val="22"/>
              </w:rPr>
              <w:t>+0.2%</w:t>
            </w:r>
          </w:p>
        </w:tc>
        <w:tc>
          <w:tcPr>
            <w:tcW w:type="dxa" w:w="1234"/>
          </w:tcPr>
          <w:p>
            <w:r>
              <w:rPr>
                <w:rFonts w:ascii="Calibri" w:hAnsi="Calibri"/>
                <w:sz w:val="22"/>
              </w:rPr>
              <w:t>-0.4%</w:t>
            </w:r>
          </w:p>
        </w:tc>
        <w:tc>
          <w:tcPr>
            <w:tcW w:type="dxa" w:w="1234"/>
          </w:tcPr>
          <w:p>
            <w:r>
              <w:rPr>
                <w:rFonts w:ascii="Calibri" w:hAnsi="Calibri"/>
                <w:b/>
                <w:color w:val="30A46C"/>
                <w:sz w:val="22"/>
              </w:rPr>
              <w:t>Beat</w:t>
            </w:r>
          </w:p>
        </w:tc>
      </w:tr>
      <w:tr>
        <w:tc>
          <w:tcPr>
            <w:tcW w:type="dxa" w:w="1234"/>
          </w:tcPr>
          <w:p>
            <w:r>
              <w:rPr>
                <w:rFonts w:ascii="Calibri" w:hAnsi="Calibri"/>
                <w:sz w:val="22"/>
              </w:rPr>
              <w:t>Q1 2025</w:t>
            </w:r>
          </w:p>
        </w:tc>
        <w:tc>
          <w:tcPr>
            <w:tcW w:type="dxa" w:w="1234"/>
          </w:tcPr>
          <w:p>
            <w:r>
              <w:rPr>
                <w:rFonts w:ascii="Calibri" w:hAnsi="Calibri"/>
                <w:b/>
                <w:color w:val="30A46C"/>
                <w:sz w:val="22"/>
              </w:rPr>
              <w:t>$1.72</w:t>
            </w:r>
          </w:p>
        </w:tc>
        <w:tc>
          <w:tcPr>
            <w:tcW w:type="dxa" w:w="1234"/>
          </w:tcPr>
          <w:p>
            <w:r>
              <w:rPr>
                <w:rFonts w:ascii="Calibri" w:hAnsi="Calibri"/>
                <w:sz w:val="22"/>
              </w:rPr>
              <w:t>$1.68</w:t>
            </w:r>
          </w:p>
        </w:tc>
        <w:tc>
          <w:tcPr>
            <w:tcW w:type="dxa" w:w="1234"/>
          </w:tcPr>
          <w:p>
            <w:r>
              <w:rPr>
                <w:rFonts w:ascii="Calibri" w:hAnsi="Calibri"/>
                <w:b/>
                <w:color w:val="30A46C"/>
                <w:sz w:val="22"/>
              </w:rPr>
              <w:t>+2.4%</w:t>
            </w:r>
          </w:p>
        </w:tc>
        <w:tc>
          <w:tcPr>
            <w:tcW w:type="dxa" w:w="1234"/>
          </w:tcPr>
          <w:p>
            <w:r>
              <w:rPr>
                <w:rFonts w:ascii="Calibri" w:hAnsi="Calibri"/>
                <w:sz w:val="22"/>
              </w:rPr>
              <w:t>+0.9%</w:t>
            </w:r>
          </w:p>
        </w:tc>
        <w:tc>
          <w:tcPr>
            <w:tcW w:type="dxa" w:w="1234"/>
          </w:tcPr>
          <w:p>
            <w:r>
              <w:rPr>
                <w:rFonts w:ascii="Calibri" w:hAnsi="Calibri"/>
                <w:sz w:val="22"/>
              </w:rPr>
              <w:t>-0.4%</w:t>
            </w:r>
          </w:p>
        </w:tc>
        <w:tc>
          <w:tcPr>
            <w:tcW w:type="dxa" w:w="1234"/>
          </w:tcPr>
          <w:p>
            <w:r>
              <w:rPr>
                <w:rFonts w:ascii="Calibri" w:hAnsi="Calibri"/>
                <w:b/>
                <w:color w:val="30A46C"/>
                <w:sz w:val="22"/>
              </w:rPr>
              <w:t>Beat</w:t>
            </w:r>
          </w:p>
        </w:tc>
      </w:tr>
      <w:tr>
        <w:tc>
          <w:tcPr>
            <w:tcW w:type="dxa" w:w="1234"/>
          </w:tcPr>
          <w:p>
            <w:r>
              <w:rPr>
                <w:rFonts w:ascii="Calibri" w:hAnsi="Calibri"/>
                <w:sz w:val="22"/>
              </w:rPr>
              <w:t>Q4 2024</w:t>
            </w:r>
          </w:p>
        </w:tc>
        <w:tc>
          <w:tcPr>
            <w:tcW w:type="dxa" w:w="1234"/>
          </w:tcPr>
          <w:p>
            <w:r>
              <w:rPr>
                <w:rFonts w:ascii="Calibri" w:hAnsi="Calibri"/>
                <w:b/>
                <w:color w:val="30A46C"/>
                <w:sz w:val="22"/>
              </w:rPr>
              <w:t>$1.73</w:t>
            </w:r>
          </w:p>
        </w:tc>
        <w:tc>
          <w:tcPr>
            <w:tcW w:type="dxa" w:w="1234"/>
          </w:tcPr>
          <w:p>
            <w:r>
              <w:rPr>
                <w:rFonts w:ascii="Calibri" w:hAnsi="Calibri"/>
                <w:sz w:val="22"/>
              </w:rPr>
              <w:t>$1.70</w:t>
            </w:r>
          </w:p>
        </w:tc>
        <w:tc>
          <w:tcPr>
            <w:tcW w:type="dxa" w:w="1234"/>
          </w:tcPr>
          <w:p>
            <w:r>
              <w:rPr>
                <w:rFonts w:ascii="Calibri" w:hAnsi="Calibri"/>
                <w:b/>
                <w:color w:val="30A46C"/>
                <w:sz w:val="22"/>
              </w:rPr>
              <w:t>+1.8%</w:t>
            </w:r>
          </w:p>
        </w:tc>
        <w:tc>
          <w:tcPr>
            <w:tcW w:type="dxa" w:w="1234"/>
          </w:tcPr>
          <w:p>
            <w:r>
              <w:rPr>
                <w:rFonts w:ascii="Calibri" w:hAnsi="Calibri"/>
                <w:sz w:val="22"/>
              </w:rPr>
              <w:t>+1.2%</w:t>
            </w:r>
          </w:p>
        </w:tc>
        <w:tc>
          <w:tcPr>
            <w:tcW w:type="dxa" w:w="1234"/>
          </w:tcPr>
          <w:p>
            <w:r>
              <w:rPr>
                <w:rFonts w:ascii="Calibri" w:hAnsi="Calibri"/>
                <w:sz w:val="22"/>
              </w:rPr>
              <w:t>+0.3%</w:t>
            </w:r>
          </w:p>
        </w:tc>
        <w:tc>
          <w:tcPr>
            <w:tcW w:type="dxa" w:w="1234"/>
          </w:tcPr>
          <w:p>
            <w:r>
              <w:rPr>
                <w:rFonts w:ascii="Calibri" w:hAnsi="Calibri"/>
                <w:b/>
                <w:color w:val="30A46C"/>
                <w:sz w:val="22"/>
              </w:rPr>
              <w:t>Beat</w:t>
            </w:r>
          </w:p>
        </w:tc>
      </w:tr>
      <w:tr>
        <w:tc>
          <w:tcPr>
            <w:tcW w:type="dxa" w:w="1234"/>
          </w:tcPr>
          <w:p>
            <w:r>
              <w:rPr>
                <w:rFonts w:ascii="Calibri" w:hAnsi="Calibri"/>
                <w:sz w:val="22"/>
              </w:rPr>
              <w:t>Q3 2024</w:t>
            </w:r>
          </w:p>
        </w:tc>
        <w:tc>
          <w:tcPr>
            <w:tcW w:type="dxa" w:w="1234"/>
          </w:tcPr>
          <w:p>
            <w:r>
              <w:rPr>
                <w:rFonts w:ascii="Calibri" w:hAnsi="Calibri"/>
                <w:b/>
                <w:color w:val="30A46C"/>
                <w:sz w:val="22"/>
              </w:rPr>
              <w:t>$1.71</w:t>
            </w:r>
          </w:p>
        </w:tc>
        <w:tc>
          <w:tcPr>
            <w:tcW w:type="dxa" w:w="1234"/>
          </w:tcPr>
          <w:p>
            <w:r>
              <w:rPr>
                <w:rFonts w:ascii="Calibri" w:hAnsi="Calibri"/>
                <w:sz w:val="22"/>
              </w:rPr>
              <w:t>$1.68</w:t>
            </w:r>
          </w:p>
        </w:tc>
        <w:tc>
          <w:tcPr>
            <w:tcW w:type="dxa" w:w="1234"/>
          </w:tcPr>
          <w:p>
            <w:r>
              <w:rPr>
                <w:rFonts w:ascii="Calibri" w:hAnsi="Calibri"/>
                <w:b/>
                <w:color w:val="30A46C"/>
                <w:sz w:val="22"/>
              </w:rPr>
              <w:t>+1.8%</w:t>
            </w:r>
          </w:p>
        </w:tc>
        <w:tc>
          <w:tcPr>
            <w:tcW w:type="dxa" w:w="1234"/>
          </w:tcPr>
          <w:p>
            <w:r>
              <w:rPr>
                <w:rFonts w:ascii="Calibri" w:hAnsi="Calibri"/>
                <w:sz w:val="22"/>
              </w:rPr>
              <w:t>-0.19%</w:t>
            </w:r>
          </w:p>
        </w:tc>
        <w:tc>
          <w:tcPr>
            <w:tcW w:type="dxa" w:w="1234"/>
          </w:tcPr>
          <w:p>
            <w:r>
              <w:rPr>
                <w:rFonts w:ascii="Calibri" w:hAnsi="Calibri"/>
                <w:sz w:val="22"/>
              </w:rPr>
              <w:t>-0.65%</w:t>
            </w:r>
          </w:p>
        </w:tc>
        <w:tc>
          <w:tcPr>
            <w:tcW w:type="dxa" w:w="1234"/>
          </w:tcPr>
          <w:p>
            <w:r>
              <w:rPr>
                <w:rFonts w:ascii="Calibri" w:hAnsi="Calibri"/>
                <w:b/>
                <w:color w:val="30A46C"/>
                <w:sz w:val="22"/>
              </w:rPr>
              <w:t>Beat</w:t>
            </w:r>
          </w:p>
        </w:tc>
      </w:tr>
      <w:tr>
        <w:tc>
          <w:tcPr>
            <w:tcW w:type="dxa" w:w="1234"/>
          </w:tcPr>
          <w:p>
            <w:r>
              <w:rPr>
                <w:rFonts w:ascii="Calibri" w:hAnsi="Calibri"/>
                <w:sz w:val="22"/>
              </w:rPr>
              <w:t>Q2 2024</w:t>
            </w:r>
          </w:p>
        </w:tc>
        <w:tc>
          <w:tcPr>
            <w:tcW w:type="dxa" w:w="1234"/>
          </w:tcPr>
          <w:p>
            <w:r>
              <w:rPr>
                <w:rFonts w:ascii="Calibri" w:hAnsi="Calibri"/>
                <w:sz w:val="22"/>
              </w:rPr>
              <w:t>N/A — prior to window</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CPT has beaten Core FFO consensus in 7 of the last 7 reported quarters, consistently by $0.01–$0.04 per share, driven by recurring items such as lower bad debt, expense timing, and fee income pull-forward — a pattern that sets a modest but reliable beat expectation heading into Q2 2026. Same-store NOI has been more mixed, with beats in quarters where bad debt surprised favorably and misses when expense timing reversed.</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has not revised any full-year 2026 guidance since the April 30 Q1 earnings call, and the June 1 Nareit REITweek update explicitly confirmed Q2 performance was tracking in line with expectations. </w:t>
      </w:r>
      <w:r>
        <w:rPr>
          <w:rFonts w:ascii="Calibri" w:hAnsi="Calibri"/>
          <w:b/>
          <w:color w:val="525866"/>
          <w:sz w:val="22"/>
        </w:rPr>
        <w:t>Tone is cautiously optimistic</w:t>
      </w:r>
      <w:r>
        <w:rPr>
          <w:rFonts w:ascii="Calibri" w:hAnsi="Calibri"/>
          <w:color w:val="525866"/>
          <w:sz w:val="22"/>
        </w:rPr>
        <w:t xml:space="preserve"> — management sees green shoots in Atlanta, Dallas, Orlando, Nashville, Raleigh, and Southeast Florida, but remains watchful for macro head fakes similar to the April 2025 Liberation Day disruption.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Core FFO/Share</w:t>
            </w:r>
          </w:p>
        </w:tc>
        <w:tc>
          <w:tcPr>
            <w:tcW w:type="dxa" w:w="1728"/>
          </w:tcPr>
          <w:p>
            <w:r>
              <w:rPr>
                <w:rFonts w:ascii="Calibri" w:hAnsi="Calibri"/>
                <w:sz w:val="22"/>
              </w:rPr>
              <w:t>$1.65–$1.69 ($1.67 mid)</w:t>
            </w:r>
          </w:p>
        </w:tc>
        <w:tc>
          <w:tcPr>
            <w:tcW w:type="dxa" w:w="1728"/>
          </w:tcPr>
          <w:p>
            <w:r>
              <w:rPr>
                <w:rFonts w:ascii="Calibri" w:hAnsi="Calibri"/>
                <w:sz w:val="22"/>
              </w:rPr>
              <w:t>—</w:t>
            </w:r>
          </w:p>
        </w:tc>
        <w:tc>
          <w:tcPr>
            <w:tcW w:type="dxa" w:w="1728"/>
          </w:tcPr>
          <w:p>
            <w:r>
              <w:rPr>
                <w:rFonts w:ascii="Calibri" w:hAnsi="Calibri"/>
                <w:sz w:val="22"/>
              </w:rPr>
              <w:t>$1.67</w:t>
            </w:r>
          </w:p>
        </w:tc>
        <w:tc>
          <w:tcPr>
            <w:tcW w:type="dxa" w:w="1728"/>
          </w:tcPr>
          <w:p>
            <w:r>
              <w:rPr>
                <w:rFonts w:ascii="Calibri" w:hAnsi="Calibri"/>
                <w:sz w:val="22"/>
              </w:rPr>
              <w:t>Unchanged; Jun 1 REITweek confirmed on-track</w:t>
            </w:r>
          </w:p>
        </w:tc>
      </w:tr>
      <w:tr>
        <w:tc>
          <w:tcPr>
            <w:tcW w:type="dxa" w:w="1728"/>
          </w:tcPr>
          <w:p>
            <w:r>
              <w:rPr>
                <w:rFonts w:ascii="Calibri" w:hAnsi="Calibri"/>
                <w:sz w:val="22"/>
              </w:rPr>
              <w:t>FY 2026 Core FFO/Share</w:t>
            </w:r>
          </w:p>
        </w:tc>
        <w:tc>
          <w:tcPr>
            <w:tcW w:type="dxa" w:w="1728"/>
          </w:tcPr>
          <w:p>
            <w:r>
              <w:rPr>
                <w:rFonts w:ascii="Calibri" w:hAnsi="Calibri"/>
                <w:sz w:val="22"/>
              </w:rPr>
              <w:t>$6.75 midpoint</w:t>
            </w:r>
          </w:p>
        </w:tc>
        <w:tc>
          <w:tcPr>
            <w:tcW w:type="dxa" w:w="1728"/>
          </w:tcPr>
          <w:p>
            <w:r>
              <w:rPr>
                <w:rFonts w:ascii="Calibri" w:hAnsi="Calibri"/>
                <w:sz w:val="22"/>
              </w:rPr>
              <w:t>—</w:t>
            </w:r>
          </w:p>
        </w:tc>
        <w:tc>
          <w:tcPr>
            <w:tcW w:type="dxa" w:w="1728"/>
          </w:tcPr>
          <w:p>
            <w:r>
              <w:rPr>
                <w:rFonts w:ascii="Calibri" w:hAnsi="Calibri"/>
                <w:sz w:val="22"/>
              </w:rPr>
              <w:t>$6.75</w:t>
            </w:r>
          </w:p>
        </w:tc>
        <w:tc>
          <w:tcPr>
            <w:tcW w:type="dxa" w:w="1728"/>
          </w:tcPr>
          <w:p>
            <w:r>
              <w:rPr>
                <w:rFonts w:ascii="Calibri" w:hAnsi="Calibri"/>
                <w:sz w:val="22"/>
              </w:rPr>
              <w:t>Unchanged; consensus exactly at midpoint</w:t>
            </w:r>
          </w:p>
        </w:tc>
      </w:tr>
      <w:tr>
        <w:tc>
          <w:tcPr>
            <w:tcW w:type="dxa" w:w="1728"/>
          </w:tcPr>
          <w:p>
            <w:r>
              <w:rPr>
                <w:rFonts w:ascii="Calibri" w:hAnsi="Calibri"/>
                <w:sz w:val="22"/>
              </w:rPr>
              <w:t>SS Revenue Growth (FY)</w:t>
            </w:r>
          </w:p>
        </w:tc>
        <w:tc>
          <w:tcPr>
            <w:tcW w:type="dxa" w:w="1728"/>
          </w:tcPr>
          <w:p>
            <w:r>
              <w:rPr>
                <w:rFonts w:ascii="Calibri" w:hAnsi="Calibri"/>
                <w:sz w:val="22"/>
              </w:rPr>
              <w:t>+0.75% midpoint</w:t>
            </w:r>
          </w:p>
        </w:tc>
        <w:tc>
          <w:tcPr>
            <w:tcW w:type="dxa" w:w="1728"/>
          </w:tcPr>
          <w:p>
            <w:r>
              <w:rPr>
                <w:rFonts w:ascii="Calibri" w:hAnsi="Calibri"/>
                <w:sz w:val="22"/>
              </w:rPr>
              <w:t>—</w:t>
            </w:r>
          </w:p>
        </w:tc>
        <w:tc>
          <w:tcPr>
            <w:tcW w:type="dxa" w:w="1728"/>
          </w:tcPr>
          <w:p>
            <w:r>
              <w:rPr>
                <w:rFonts w:ascii="Calibri" w:hAnsi="Calibri"/>
                <w:sz w:val="22"/>
              </w:rPr>
              <w:t>+0.40%</w:t>
            </w:r>
          </w:p>
        </w:tc>
        <w:tc>
          <w:tcPr>
            <w:tcW w:type="dxa" w:w="1728"/>
          </w:tcPr>
          <w:p>
            <w:r>
              <w:rPr>
                <w:rFonts w:ascii="Calibri" w:hAnsi="Calibri"/>
                <w:sz w:val="22"/>
              </w:rPr>
              <w:t>Consensus below guidance mid; potential upside if bad debt holds</w:t>
            </w:r>
          </w:p>
        </w:tc>
      </w:tr>
      <w:tr>
        <w:tc>
          <w:tcPr>
            <w:tcW w:type="dxa" w:w="1728"/>
          </w:tcPr>
          <w:p>
            <w:r>
              <w:rPr>
                <w:rFonts w:ascii="Calibri" w:hAnsi="Calibri"/>
                <w:sz w:val="22"/>
              </w:rPr>
              <w:t>SS Expense Growth (FY)</w:t>
            </w:r>
          </w:p>
        </w:tc>
        <w:tc>
          <w:tcPr>
            <w:tcW w:type="dxa" w:w="1728"/>
          </w:tcPr>
          <w:p>
            <w:r>
              <w:rPr>
                <w:rFonts w:ascii="Calibri" w:hAnsi="Calibri"/>
                <w:sz w:val="22"/>
              </w:rPr>
              <w:t>+3.0% midpoint</w:t>
            </w:r>
          </w:p>
        </w:tc>
        <w:tc>
          <w:tcPr>
            <w:tcW w:type="dxa" w:w="1728"/>
          </w:tcPr>
          <w:p>
            <w:r>
              <w:rPr>
                <w:rFonts w:ascii="Calibri" w:hAnsi="Calibri"/>
                <w:sz w:val="22"/>
              </w:rPr>
              <w:t>—</w:t>
            </w:r>
          </w:p>
        </w:tc>
        <w:tc>
          <w:tcPr>
            <w:tcW w:type="dxa" w:w="1728"/>
          </w:tcPr>
          <w:p>
            <w:r>
              <w:rPr>
                <w:rFonts w:ascii="Calibri" w:hAnsi="Calibri"/>
                <w:sz w:val="22"/>
              </w:rPr>
              <w:t>+2.6%</w:t>
            </w:r>
          </w:p>
        </w:tc>
        <w:tc>
          <w:tcPr>
            <w:tcW w:type="dxa" w:w="1728"/>
          </w:tcPr>
          <w:p>
            <w:r>
              <w:rPr>
                <w:rFonts w:ascii="Calibri" w:hAnsi="Calibri"/>
                <w:sz w:val="22"/>
              </w:rPr>
              <w:t>Consensus below guidance; Q1 expense beat was timing-related per mgmt</w:t>
            </w:r>
          </w:p>
        </w:tc>
      </w:tr>
      <w:tr>
        <w:tc>
          <w:tcPr>
            <w:tcW w:type="dxa" w:w="1728"/>
          </w:tcPr>
          <w:p>
            <w:r>
              <w:rPr>
                <w:rFonts w:ascii="Calibri" w:hAnsi="Calibri"/>
                <w:sz w:val="22"/>
              </w:rPr>
              <w:t>SS NOI Growth (FY)</w:t>
            </w:r>
          </w:p>
        </w:tc>
        <w:tc>
          <w:tcPr>
            <w:tcW w:type="dxa" w:w="1728"/>
          </w:tcPr>
          <w:p>
            <w:r>
              <w:rPr>
                <w:rFonts w:ascii="Calibri" w:hAnsi="Calibri"/>
                <w:sz w:val="22"/>
              </w:rPr>
              <w:t>-0.5% midpoint</w:t>
            </w:r>
          </w:p>
        </w:tc>
        <w:tc>
          <w:tcPr>
            <w:tcW w:type="dxa" w:w="1728"/>
          </w:tcPr>
          <w:p>
            <w:r>
              <w:rPr>
                <w:rFonts w:ascii="Calibri" w:hAnsi="Calibri"/>
                <w:sz w:val="22"/>
              </w:rPr>
              <w:t>—</w:t>
            </w:r>
          </w:p>
        </w:tc>
        <w:tc>
          <w:tcPr>
            <w:tcW w:type="dxa" w:w="1728"/>
          </w:tcPr>
          <w:p>
            <w:r>
              <w:rPr>
                <w:rFonts w:ascii="Calibri" w:hAnsi="Calibri"/>
                <w:sz w:val="22"/>
              </w:rPr>
              <w:t>-0.9%</w:t>
            </w:r>
          </w:p>
        </w:tc>
        <w:tc>
          <w:tcPr>
            <w:tcW w:type="dxa" w:w="1728"/>
          </w:tcPr>
          <w:p>
            <w:r>
              <w:rPr>
                <w:rFonts w:ascii="Calibri" w:hAnsi="Calibri"/>
                <w:sz w:val="22"/>
              </w:rPr>
              <w:t>Consensus below guidance mid; implies Street more cautious than mgmt</w:t>
            </w:r>
          </w:p>
        </w:tc>
      </w:tr>
      <w:tr>
        <w:tc>
          <w:tcPr>
            <w:tcW w:type="dxa" w:w="1728"/>
          </w:tcPr>
          <w:p>
            <w:r>
              <w:rPr>
                <w:rFonts w:ascii="Calibri" w:hAnsi="Calibri"/>
                <w:sz w:val="22"/>
              </w:rPr>
              <w:t>Same-Store Occupancy (FY)</w:t>
            </w:r>
          </w:p>
        </w:tc>
        <w:tc>
          <w:tcPr>
            <w:tcW w:type="dxa" w:w="1728"/>
          </w:tcPr>
          <w:p>
            <w:r>
              <w:rPr>
                <w:rFonts w:ascii="Calibri" w:hAnsi="Calibri"/>
                <w:sz w:val="22"/>
              </w:rPr>
              <w:t>~Mid-95% (April: 95.4%)</w:t>
            </w:r>
          </w:p>
        </w:tc>
        <w:tc>
          <w:tcPr>
            <w:tcW w:type="dxa" w:w="1728"/>
          </w:tcPr>
          <w:p>
            <w:r>
              <w:rPr>
                <w:rFonts w:ascii="Calibri" w:hAnsi="Calibri"/>
                <w:sz w:val="22"/>
              </w:rPr>
              <w:t>—</w:t>
            </w:r>
          </w:p>
        </w:tc>
        <w:tc>
          <w:tcPr>
            <w:tcW w:type="dxa" w:w="1728"/>
          </w:tcPr>
          <w:p>
            <w:r>
              <w:rPr>
                <w:rFonts w:ascii="Calibri" w:hAnsi="Calibri"/>
                <w:sz w:val="22"/>
              </w:rPr>
              <w:t>95.3%</w:t>
            </w:r>
          </w:p>
        </w:tc>
        <w:tc>
          <w:tcPr>
            <w:tcW w:type="dxa" w:w="1728"/>
          </w:tcPr>
          <w:p>
            <w:r>
              <w:rPr>
                <w:rFonts w:ascii="Calibri" w:hAnsi="Calibri"/>
                <w:sz w:val="22"/>
              </w:rPr>
              <w:t>Unchanged; April data confirmed sequential improvement</w:t>
            </w:r>
          </w:p>
        </w:tc>
      </w:tr>
      <w:tr>
        <w:tc>
          <w:tcPr>
            <w:tcW w:type="dxa" w:w="1728"/>
          </w:tcPr>
          <w:p>
            <w:r>
              <w:rPr>
                <w:rFonts w:ascii="Calibri" w:hAnsi="Calibri"/>
                <w:sz w:val="22"/>
              </w:rPr>
              <w:t>California Portfolio Sale</w:t>
            </w:r>
          </w:p>
        </w:tc>
        <w:tc>
          <w:tcPr>
            <w:tcW w:type="dxa" w:w="1728"/>
          </w:tcPr>
          <w:p>
            <w:r>
              <w:rPr>
                <w:rFonts w:ascii="Calibri" w:hAnsi="Calibri"/>
                <w:sz w:val="22"/>
              </w:rPr>
              <w:t>Late June / early July close; one buyer in diligence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catalyst — close confirmation expected on Q2 call</w:t>
            </w:r>
          </w:p>
        </w:tc>
      </w:tr>
      <w:tr>
        <w:tc>
          <w:tcPr>
            <w:tcW w:type="dxa" w:w="1728"/>
          </w:tcPr>
          <w:p>
            <w:r>
              <w:rPr>
                <w:rFonts w:ascii="Calibri" w:hAnsi="Calibri"/>
                <w:sz w:val="22"/>
              </w:rPr>
              <w:t>Share Repurchases (FY)</w:t>
            </w:r>
          </w:p>
        </w:tc>
        <w:tc>
          <w:tcPr>
            <w:tcW w:type="dxa" w:w="1728"/>
          </w:tcPr>
          <w:p>
            <w:r>
              <w:rPr>
                <w:rFonts w:ascii="Calibri" w:hAnsi="Calibri"/>
                <w:sz w:val="22"/>
              </w:rPr>
              <w:t>No additional assumed in guidance; $693M completed through Q1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Mgmt noted capacity for more once CA sale closes</w:t>
            </w:r>
          </w:p>
        </w:tc>
      </w:tr>
    </w:tbl>
    <w:p>
      <w:r>
        <w:rPr>
          <w:rFonts w:ascii="Calibri" w:hAnsi="Calibri"/>
          <w:i/>
          <w:color w:val="525866"/>
          <w:sz w:val="22"/>
        </w:rPr>
        <w:t>Sources: Camden Property Trust Q1 2026 Earnings Call Transcript (May 1, 2026); Camden Property Trust Nareit REITweek Press Release (June 1,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Core FFO have been essentially flat since the Q1 print, with the Street sitting exactly at the guidance midpoint — no meaningful revision momentum in either direction. </w:t>
      </w:r>
      <w:r>
        <w:rPr>
          <w:rFonts w:ascii="Calibri" w:hAnsi="Calibri"/>
          <w:b/>
          <w:color w:val="525866"/>
          <w:sz w:val="22"/>
        </w:rPr>
        <w:t>FY 2026 estimates have drifted very slightly lower</w:t>
      </w:r>
      <w:r>
        <w:rPr>
          <w:rFonts w:ascii="Calibri" w:hAnsi="Calibri"/>
          <w:color w:val="525866"/>
          <w:sz w:val="22"/>
        </w:rPr>
        <w:t xml:space="preserve"> (from $6.78 to $6.75) since Q1 earnings, consistent with the Street anchoring to management's unchanged midpoint rather than building in upside from the Q1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Core FFO/Share — Q2 2026</w:t>
            </w:r>
          </w:p>
        </w:tc>
        <w:tc>
          <w:tcPr>
            <w:tcW w:type="dxa" w:w="1080"/>
          </w:tcPr>
          <w:p>
            <w:r>
              <w:rPr>
                <w:rFonts w:ascii="Calibri" w:hAnsi="Calibri"/>
                <w:sz w:val="22"/>
              </w:rPr>
              <w:t>$1.671</w:t>
            </w:r>
          </w:p>
        </w:tc>
        <w:tc>
          <w:tcPr>
            <w:tcW w:type="dxa" w:w="1080"/>
          </w:tcPr>
          <w:p>
            <w:r>
              <w:rPr>
                <w:rFonts w:ascii="Calibri" w:hAnsi="Calibri"/>
                <w:sz w:val="22"/>
              </w:rPr>
              <w:t>$1.673</w:t>
            </w:r>
          </w:p>
        </w:tc>
        <w:tc>
          <w:tcPr>
            <w:tcW w:type="dxa" w:w="1080"/>
          </w:tcPr>
          <w:p>
            <w:r>
              <w:rPr>
                <w:rFonts w:ascii="Calibri" w:hAnsi="Calibri"/>
                <w:sz w:val="22"/>
              </w:rPr>
              <w:t>+0.1%</w:t>
            </w:r>
          </w:p>
        </w:tc>
        <w:tc>
          <w:tcPr>
            <w:tcW w:type="dxa" w:w="1080"/>
          </w:tcPr>
          <w:p>
            <w:r>
              <w:rPr>
                <w:rFonts w:ascii="Calibri" w:hAnsi="Calibri"/>
                <w:sz w:val="22"/>
              </w:rPr>
              <w:t>$1.65–$1.69 ($1.67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midpoint)</w:t>
            </w:r>
          </w:p>
        </w:tc>
      </w:tr>
      <w:tr>
        <w:tc>
          <w:tcPr>
            <w:tcW w:type="dxa" w:w="1080"/>
          </w:tcPr>
          <w:p>
            <w:r>
              <w:rPr>
                <w:rFonts w:ascii="Calibri" w:hAnsi="Calibri"/>
                <w:sz w:val="22"/>
              </w:rPr>
              <w:t>Core FFO/Share — FY 2026</w:t>
            </w:r>
          </w:p>
        </w:tc>
        <w:tc>
          <w:tcPr>
            <w:tcW w:type="dxa" w:w="1080"/>
          </w:tcPr>
          <w:p>
            <w:r>
              <w:rPr>
                <w:rFonts w:ascii="Calibri" w:hAnsi="Calibri"/>
                <w:sz w:val="22"/>
              </w:rPr>
              <w:t>$6.780</w:t>
            </w:r>
          </w:p>
        </w:tc>
        <w:tc>
          <w:tcPr>
            <w:tcW w:type="dxa" w:w="1080"/>
          </w:tcPr>
          <w:p>
            <w:r>
              <w:rPr>
                <w:rFonts w:ascii="Calibri" w:hAnsi="Calibri"/>
                <w:sz w:val="22"/>
              </w:rPr>
              <w:t>$6.747</w:t>
            </w:r>
          </w:p>
        </w:tc>
        <w:tc>
          <w:tcPr>
            <w:tcW w:type="dxa" w:w="1080"/>
          </w:tcPr>
          <w:p>
            <w:r>
              <w:rPr>
                <w:rFonts w:ascii="Calibri" w:hAnsi="Calibri"/>
                <w:sz w:val="22"/>
              </w:rPr>
              <w:t>-0.5%</w:t>
            </w:r>
          </w:p>
        </w:tc>
        <w:tc>
          <w:tcPr>
            <w:tcW w:type="dxa" w:w="1080"/>
          </w:tcPr>
          <w:p>
            <w:r>
              <w:rPr>
                <w:rFonts w:ascii="Calibri" w:hAnsi="Calibri"/>
                <w:sz w:val="22"/>
              </w:rPr>
              <w:t>$6.75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-0.04% (at midpoint)</w:t>
            </w:r>
          </w:p>
        </w:tc>
      </w:tr>
      <w:tr>
        <w:tc>
          <w:tcPr>
            <w:tcW w:type="dxa" w:w="1080"/>
          </w:tcPr>
          <w:p>
            <w:r>
              <w:rPr>
                <w:rFonts w:ascii="Calibri" w:hAnsi="Calibri"/>
                <w:sz w:val="22"/>
              </w:rPr>
              <w:t>SS Revenue Growth — Q2 2026</w:t>
            </w:r>
          </w:p>
        </w:tc>
        <w:tc>
          <w:tcPr>
            <w:tcW w:type="dxa" w:w="1080"/>
          </w:tcPr>
          <w:p>
            <w:r>
              <w:rPr>
                <w:rFonts w:ascii="Calibri" w:hAnsi="Calibri"/>
                <w:sz w:val="22"/>
              </w:rPr>
              <w:t>+0.28%</w:t>
            </w:r>
          </w:p>
        </w:tc>
        <w:tc>
          <w:tcPr>
            <w:tcW w:type="dxa" w:w="1080"/>
          </w:tcPr>
          <w:p>
            <w:r>
              <w:rPr>
                <w:rFonts w:ascii="Calibri" w:hAnsi="Calibri"/>
                <w:sz w:val="22"/>
              </w:rPr>
              <w:t>+0.13%</w:t>
            </w:r>
          </w:p>
        </w:tc>
        <w:tc>
          <w:tcPr>
            <w:tcW w:type="dxa" w:w="1080"/>
          </w:tcPr>
          <w:p>
            <w:r>
              <w:rPr>
                <w:rFonts w:ascii="Calibri" w:hAnsi="Calibri"/>
                <w:sz w:val="22"/>
              </w:rPr>
              <w:t>-54 bps</w:t>
            </w:r>
          </w:p>
        </w:tc>
        <w:tc>
          <w:tcPr>
            <w:tcW w:type="dxa" w:w="1080"/>
          </w:tcPr>
          <w:p>
            <w:r>
              <w:rPr>
                <w:rFonts w:ascii="Calibri" w:hAnsi="Calibri"/>
                <w:sz w:val="22"/>
              </w:rPr>
              <w:t>FY mid: +0.75%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FY guidance mid</w:t>
            </w:r>
          </w:p>
        </w:tc>
      </w:tr>
      <w:tr>
        <w:tc>
          <w:tcPr>
            <w:tcW w:type="dxa" w:w="1080"/>
          </w:tcPr>
          <w:p>
            <w:r>
              <w:rPr>
                <w:rFonts w:ascii="Calibri" w:hAnsi="Calibri"/>
                <w:sz w:val="22"/>
              </w:rPr>
              <w:t>SS Revenue Growth — FY 2026</w:t>
            </w:r>
          </w:p>
        </w:tc>
        <w:tc>
          <w:tcPr>
            <w:tcW w:type="dxa" w:w="1080"/>
          </w:tcPr>
          <w:p>
            <w:r>
              <w:rPr>
                <w:rFonts w:ascii="Calibri" w:hAnsi="Calibri"/>
                <w:sz w:val="22"/>
              </w:rPr>
              <w:t>+0.45%</w:t>
            </w:r>
          </w:p>
        </w:tc>
        <w:tc>
          <w:tcPr>
            <w:tcW w:type="dxa" w:w="1080"/>
          </w:tcPr>
          <w:p>
            <w:r>
              <w:rPr>
                <w:rFonts w:ascii="Calibri" w:hAnsi="Calibri"/>
                <w:sz w:val="22"/>
              </w:rPr>
              <w:t>+0.40%</w:t>
            </w:r>
          </w:p>
        </w:tc>
        <w:tc>
          <w:tcPr>
            <w:tcW w:type="dxa" w:w="1080"/>
          </w:tcPr>
          <w:p>
            <w:r>
              <w:rPr>
                <w:rFonts w:ascii="Calibri" w:hAnsi="Calibri"/>
                <w:sz w:val="22"/>
              </w:rPr>
              <w:t>-5 bps</w:t>
            </w:r>
          </w:p>
        </w:tc>
        <w:tc>
          <w:tcPr>
            <w:tcW w:type="dxa" w:w="1080"/>
          </w:tcPr>
          <w:p>
            <w:r>
              <w:rPr>
                <w:rFonts w:ascii="Calibri" w:hAnsi="Calibri"/>
                <w:sz w:val="22"/>
              </w:rPr>
              <w:t>+0.75%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-35 bps below mid</w:t>
            </w:r>
          </w:p>
        </w:tc>
      </w:tr>
      <w:tr>
        <w:tc>
          <w:tcPr>
            <w:tcW w:type="dxa" w:w="1080"/>
          </w:tcPr>
          <w:p>
            <w:r>
              <w:rPr>
                <w:rFonts w:ascii="Calibri" w:hAnsi="Calibri"/>
                <w:sz w:val="22"/>
              </w:rPr>
              <w:t>SS NOI Growth — Q2 2026</w:t>
            </w:r>
          </w:p>
        </w:tc>
        <w:tc>
          <w:tcPr>
            <w:tcW w:type="dxa" w:w="1080"/>
          </w:tcPr>
          <w:p>
            <w:r>
              <w:rPr>
                <w:rFonts w:ascii="Calibri" w:hAnsi="Calibri"/>
                <w:sz w:val="22"/>
              </w:rPr>
              <w:t>-1.24%</w:t>
            </w:r>
          </w:p>
        </w:tc>
        <w:tc>
          <w:tcPr>
            <w:tcW w:type="dxa" w:w="1080"/>
          </w:tcPr>
          <w:p>
            <w:r>
              <w:rPr>
                <w:rFonts w:ascii="Calibri" w:hAnsi="Calibri"/>
                <w:sz w:val="22"/>
              </w:rPr>
              <w:t>-1.48%</w:t>
            </w:r>
          </w:p>
        </w:tc>
        <w:tc>
          <w:tcPr>
            <w:tcW w:type="dxa" w:w="1080"/>
          </w:tcPr>
          <w:p>
            <w:r>
              <w:rPr>
                <w:rFonts w:ascii="Calibri" w:hAnsi="Calibri"/>
                <w:sz w:val="22"/>
              </w:rPr>
              <w:t>-24 bps</w:t>
            </w:r>
          </w:p>
        </w:tc>
        <w:tc>
          <w:tcPr>
            <w:tcW w:type="dxa" w:w="1080"/>
          </w:tcPr>
          <w:p>
            <w:r>
              <w:rPr>
                <w:rFonts w:ascii="Calibri" w:hAnsi="Calibri"/>
                <w:sz w:val="22"/>
              </w:rPr>
              <w:t>FY mid: -0.5%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FY guidance mid</w:t>
            </w:r>
          </w:p>
        </w:tc>
      </w:tr>
      <w:tr>
        <w:tc>
          <w:tcPr>
            <w:tcW w:type="dxa" w:w="1080"/>
          </w:tcPr>
          <w:p>
            <w:r>
              <w:rPr>
                <w:rFonts w:ascii="Calibri" w:hAnsi="Calibri"/>
                <w:sz w:val="22"/>
              </w:rPr>
              <w:t>SS NOI Growth — FY 2026</w:t>
            </w:r>
          </w:p>
        </w:tc>
        <w:tc>
          <w:tcPr>
            <w:tcW w:type="dxa" w:w="1080"/>
          </w:tcPr>
          <w:p>
            <w:r>
              <w:rPr>
                <w:rFonts w:ascii="Calibri" w:hAnsi="Calibri"/>
                <w:sz w:val="22"/>
              </w:rPr>
              <w:t>-0.78%</w:t>
            </w:r>
          </w:p>
        </w:tc>
        <w:tc>
          <w:tcPr>
            <w:tcW w:type="dxa" w:w="1080"/>
          </w:tcPr>
          <w:p>
            <w:r>
              <w:rPr>
                <w:rFonts w:ascii="Calibri" w:hAnsi="Calibri"/>
                <w:sz w:val="22"/>
              </w:rPr>
              <w:t>-0.92%</w:t>
            </w:r>
          </w:p>
        </w:tc>
        <w:tc>
          <w:tcPr>
            <w:tcW w:type="dxa" w:w="1080"/>
          </w:tcPr>
          <w:p>
            <w:r>
              <w:rPr>
                <w:rFonts w:ascii="Calibri" w:hAnsi="Calibri"/>
                <w:sz w:val="22"/>
              </w:rPr>
              <w:t>-14 bps</w:t>
            </w:r>
          </w:p>
        </w:tc>
        <w:tc>
          <w:tcPr>
            <w:tcW w:type="dxa" w:w="1080"/>
          </w:tcPr>
          <w:p>
            <w:r>
              <w:rPr>
                <w:rFonts w:ascii="Calibri" w:hAnsi="Calibri"/>
                <w:sz w:val="22"/>
              </w:rPr>
              <w:t>-0.5%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-42 bps below mid</w:t>
            </w:r>
          </w:p>
        </w:tc>
      </w:tr>
      <w:tr>
        <w:tc>
          <w:tcPr>
            <w:tcW w:type="dxa" w:w="1080"/>
          </w:tcPr>
          <w:p>
            <w:r>
              <w:rPr>
                <w:rFonts w:ascii="Calibri" w:hAnsi="Calibri"/>
                <w:sz w:val="22"/>
              </w:rPr>
              <w:t>Property Revenues — Q2 2026 ($M)</w:t>
            </w:r>
          </w:p>
        </w:tc>
        <w:tc>
          <w:tcPr>
            <w:tcW w:type="dxa" w:w="1080"/>
          </w:tcPr>
          <w:p>
            <w:r>
              <w:rPr>
                <w:rFonts w:ascii="Calibri" w:hAnsi="Calibri"/>
                <w:sz w:val="22"/>
              </w:rPr>
              <w:t>$392.2M</w:t>
            </w:r>
          </w:p>
        </w:tc>
        <w:tc>
          <w:tcPr>
            <w:tcW w:type="dxa" w:w="1080"/>
          </w:tcPr>
          <w:p>
            <w:r>
              <w:rPr>
                <w:rFonts w:ascii="Calibri" w:hAnsi="Calibri"/>
                <w:sz w:val="22"/>
              </w:rPr>
              <w:t>$391.2M</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pattern is clear — estimates have drifted modestly lower since Q1 earnings on SS revenue and NOI metrics, while Core FFO estimates are essentially unchanged. The Street is more cautious than management's own guidance midpoints on SS NOI (-0.92% vs. -0.5% guidance mid for FY), which creates a cushion for a beat if the H2 recovery thesis begins to materialize. The absence of any upward revision momentum despite the Q1 beat and April green shoots suggests the market is waiting for confirmation before pricing in the recovery.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CPT has rallied ~+11% since the Q1 2026 earnings date (April 30), significantly outperforming IYR (+4.3%) and SPY (+1.5%) over the same period. </w:t>
      </w:r>
      <w:r>
        <w:rPr>
          <w:rFonts w:ascii="Calibri" w:hAnsi="Calibri"/>
          <w:b/>
          <w:color w:val="525866"/>
          <w:sz w:val="22"/>
        </w:rPr>
        <w:t>The outperformance is almost entirely multiple expansion</w:t>
      </w:r>
      <w:r>
        <w:rPr>
          <w:rFonts w:ascii="Calibri" w:hAnsi="Calibri"/>
          <w:color w:val="525866"/>
          <w:sz w:val="22"/>
        </w:rPr>
        <w:t xml:space="preserve"> — EV/EBITDA has expanded from ~16.7x (3 months ago) to ~18.6x today — driven by the California sale catalyst and growing conviction in the H2 supply absorption thesis, rather than estimate upgrades.</w:t>
      </w:r>
    </w:p>
    <w:p>
      <w:r>
        <w:rPr>
          <w:rFonts w:ascii="Calibri" w:hAnsi="Calibri"/>
          <w:b/>
          <w:color w:val="525866"/>
          <w:sz w:val="22"/>
        </w:rPr>
        <w:t>Indexed Performance Since Q1 2026 Earnings (April 30,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CPT (Indexed)</w:t>
            </w:r>
          </w:p>
        </w:tc>
        <w:tc>
          <w:tcPr>
            <w:tcW w:type="dxa" w:w="2160"/>
            <w:shd w:val="clear" w:color="auto" w:fill="3B4259"/>
          </w:tcPr>
          <w:p>
            <w:r>
              <w:rPr>
                <w:rFonts w:ascii="Calibri" w:hAnsi="Calibri"/>
                <w:b/>
                <w:color w:val="FFFFFF"/>
                <w:sz w:val="22"/>
              </w:rPr>
              <w:t>IYR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102.9</w:t>
            </w:r>
          </w:p>
        </w:tc>
        <w:tc>
          <w:tcPr>
            <w:tcW w:type="dxa" w:w="2160"/>
          </w:tcPr>
          <w:p>
            <w:r>
              <w:rPr>
                <w:rFonts w:ascii="Calibri" w:hAnsi="Calibri"/>
                <w:sz w:val="22"/>
              </w:rPr>
              <w:t>99.7</w:t>
            </w:r>
          </w:p>
        </w:tc>
        <w:tc>
          <w:tcPr>
            <w:tcW w:type="dxa" w:w="2160"/>
          </w:tcPr>
          <w:p>
            <w:r>
              <w:rPr>
                <w:rFonts w:ascii="Calibri" w:hAnsi="Calibri"/>
                <w:sz w:val="22"/>
              </w:rPr>
              <w:t>105.3</w:t>
            </w:r>
          </w:p>
        </w:tc>
      </w:tr>
      <w:tr>
        <w:tc>
          <w:tcPr>
            <w:tcW w:type="dxa" w:w="2160"/>
          </w:tcPr>
          <w:p>
            <w:r>
              <w:rPr>
                <w:rFonts w:ascii="Calibri" w:hAnsi="Calibri"/>
                <w:sz w:val="22"/>
              </w:rPr>
              <w:t>Jun 1, 2026 (REITweek — Q2 on-track update)</w:t>
            </w:r>
          </w:p>
        </w:tc>
        <w:tc>
          <w:tcPr>
            <w:tcW w:type="dxa" w:w="2160"/>
          </w:tcPr>
          <w:p>
            <w:r>
              <w:rPr>
                <w:rFonts w:ascii="Calibri" w:hAnsi="Calibri"/>
                <w:sz w:val="22"/>
              </w:rPr>
              <w:t>101.0</w:t>
            </w:r>
          </w:p>
        </w:tc>
        <w:tc>
          <w:tcPr>
            <w:tcW w:type="dxa" w:w="2160"/>
          </w:tcPr>
          <w:p>
            <w:r>
              <w:rPr>
                <w:rFonts w:ascii="Calibri" w:hAnsi="Calibri"/>
                <w:sz w:val="22"/>
              </w:rPr>
              <w:t>97.0</w:t>
            </w:r>
          </w:p>
        </w:tc>
        <w:tc>
          <w:tcPr>
            <w:tcW w:type="dxa" w:w="2160"/>
          </w:tcPr>
          <w:p>
            <w:r>
              <w:rPr>
                <w:rFonts w:ascii="Calibri" w:hAnsi="Calibri"/>
                <w:sz w:val="22"/>
              </w:rPr>
              <w:t>105.6</w:t>
            </w:r>
          </w:p>
        </w:tc>
      </w:tr>
      <w:tr>
        <w:tc>
          <w:tcPr>
            <w:tcW w:type="dxa" w:w="2160"/>
          </w:tcPr>
          <w:p>
            <w:r>
              <w:rPr>
                <w:rFonts w:ascii="Calibri" w:hAnsi="Calibri"/>
                <w:sz w:val="22"/>
              </w:rPr>
              <w:t>Jun 4–5, 2026 (CA sale catalyst / stock surge)</w:t>
            </w:r>
          </w:p>
        </w:tc>
        <w:tc>
          <w:tcPr>
            <w:tcW w:type="dxa" w:w="2160"/>
          </w:tcPr>
          <w:p>
            <w:r>
              <w:rPr>
                <w:rFonts w:ascii="Calibri" w:hAnsi="Calibri"/>
                <w:sz w:val="22"/>
              </w:rPr>
              <w:t>107.2</w:t>
            </w:r>
          </w:p>
        </w:tc>
        <w:tc>
          <w:tcPr>
            <w:tcW w:type="dxa" w:w="2160"/>
          </w:tcPr>
          <w:p>
            <w:r>
              <w:rPr>
                <w:rFonts w:ascii="Calibri" w:hAnsi="Calibri"/>
                <w:sz w:val="22"/>
              </w:rPr>
              <w:t>99.9</w:t>
            </w:r>
          </w:p>
        </w:tc>
        <w:tc>
          <w:tcPr>
            <w:tcW w:type="dxa" w:w="2160"/>
          </w:tcPr>
          <w:p>
            <w:r>
              <w:rPr>
                <w:rFonts w:ascii="Calibri" w:hAnsi="Calibri"/>
                <w:sz w:val="22"/>
              </w:rPr>
              <w:t>102.6</w:t>
            </w:r>
          </w:p>
        </w:tc>
      </w:tr>
      <w:tr>
        <w:tc>
          <w:tcPr>
            <w:tcW w:type="dxa" w:w="2160"/>
          </w:tcPr>
          <w:p>
            <w:r>
              <w:rPr>
                <w:rFonts w:ascii="Calibri" w:hAnsi="Calibri"/>
                <w:sz w:val="22"/>
              </w:rPr>
              <w:t>Jun 9, 2026 (Peak: $115.40)</w:t>
            </w:r>
          </w:p>
        </w:tc>
        <w:tc>
          <w:tcPr>
            <w:tcW w:type="dxa" w:w="2160"/>
          </w:tcPr>
          <w:p>
            <w:r>
              <w:rPr>
                <w:rFonts w:ascii="Calibri" w:hAnsi="Calibri"/>
                <w:sz w:val="22"/>
              </w:rPr>
              <w:t>109.9</w:t>
            </w:r>
          </w:p>
        </w:tc>
        <w:tc>
          <w:tcPr>
            <w:tcW w:type="dxa" w:w="2160"/>
          </w:tcPr>
          <w:p>
            <w:r>
              <w:rPr>
                <w:rFonts w:ascii="Calibri" w:hAnsi="Calibri"/>
                <w:sz w:val="22"/>
              </w:rPr>
              <w:t>100.8</w:t>
            </w:r>
          </w:p>
        </w:tc>
        <w:tc>
          <w:tcPr>
            <w:tcW w:type="dxa" w:w="2160"/>
          </w:tcPr>
          <w:p>
            <w:r>
              <w:rPr>
                <w:rFonts w:ascii="Calibri" w:hAnsi="Calibri"/>
                <w:sz w:val="22"/>
              </w:rPr>
              <w:t>102.6</w:t>
            </w:r>
          </w:p>
        </w:tc>
      </w:tr>
      <w:tr>
        <w:tc>
          <w:tcPr>
            <w:tcW w:type="dxa" w:w="2160"/>
          </w:tcPr>
          <w:p>
            <w:r>
              <w:rPr>
                <w:rFonts w:ascii="Calibri" w:hAnsi="Calibri"/>
                <w:sz w:val="22"/>
              </w:rPr>
              <w:t>Jun 30, 2026 (Quarter-end)</w:t>
            </w:r>
          </w:p>
        </w:tc>
        <w:tc>
          <w:tcPr>
            <w:tcW w:type="dxa" w:w="2160"/>
          </w:tcPr>
          <w:p>
            <w:r>
              <w:rPr>
                <w:rFonts w:ascii="Calibri" w:hAnsi="Calibri"/>
                <w:sz w:val="22"/>
              </w:rPr>
              <w:t>109.0</w:t>
            </w:r>
          </w:p>
        </w:tc>
        <w:tc>
          <w:tcPr>
            <w:tcW w:type="dxa" w:w="2160"/>
          </w:tcPr>
          <w:p>
            <w:r>
              <w:rPr>
                <w:rFonts w:ascii="Calibri" w:hAnsi="Calibri"/>
                <w:sz w:val="22"/>
              </w:rPr>
              <w:t>99.6</w:t>
            </w:r>
          </w:p>
        </w:tc>
        <w:tc>
          <w:tcPr>
            <w:tcW w:type="dxa" w:w="2160"/>
          </w:tcPr>
          <w:p>
            <w:r>
              <w:rPr>
                <w:rFonts w:ascii="Calibri" w:hAnsi="Calibri"/>
                <w:sz w:val="22"/>
              </w:rPr>
              <w:t>103.9</w:t>
            </w:r>
          </w:p>
        </w:tc>
      </w:tr>
      <w:tr>
        <w:tc>
          <w:tcPr>
            <w:tcW w:type="dxa" w:w="2160"/>
          </w:tcPr>
          <w:p>
            <w:r>
              <w:rPr>
                <w:rFonts w:ascii="Calibri" w:hAnsi="Calibri"/>
                <w:sz w:val="22"/>
              </w:rPr>
              <w:t>Jul 7, 2026 (Earnings date announcement)</w:t>
            </w:r>
          </w:p>
        </w:tc>
        <w:tc>
          <w:tcPr>
            <w:tcW w:type="dxa" w:w="2160"/>
          </w:tcPr>
          <w:p>
            <w:r>
              <w:rPr>
                <w:rFonts w:ascii="Calibri" w:hAnsi="Calibri"/>
                <w:sz w:val="22"/>
              </w:rPr>
              <w:t>112.0</w:t>
            </w:r>
          </w:p>
        </w:tc>
        <w:tc>
          <w:tcPr>
            <w:tcW w:type="dxa" w:w="2160"/>
          </w:tcPr>
          <w:p>
            <w:r>
              <w:rPr>
                <w:rFonts w:ascii="Calibri" w:hAnsi="Calibri"/>
                <w:sz w:val="22"/>
              </w:rPr>
              <w:t>101.8</w:t>
            </w:r>
          </w:p>
        </w:tc>
        <w:tc>
          <w:tcPr>
            <w:tcW w:type="dxa" w:w="2160"/>
          </w:tcPr>
          <w:p>
            <w:r>
              <w:rPr>
                <w:rFonts w:ascii="Calibri" w:hAnsi="Calibri"/>
                <w:sz w:val="22"/>
              </w:rPr>
              <w:t>104.0</w:t>
            </w:r>
          </w:p>
        </w:tc>
      </w:tr>
      <w:tr>
        <w:tc>
          <w:tcPr>
            <w:tcW w:type="dxa" w:w="2160"/>
          </w:tcPr>
          <w:p>
            <w:r>
              <w:rPr>
                <w:rFonts w:ascii="Calibri" w:hAnsi="Calibri"/>
                <w:sz w:val="22"/>
              </w:rPr>
              <w:t>Jul 28, 2026 (Latest)</w:t>
            </w:r>
          </w:p>
        </w:tc>
        <w:tc>
          <w:tcPr>
            <w:tcW w:type="dxa" w:w="2160"/>
          </w:tcPr>
          <w:p>
            <w:r>
              <w:rPr>
                <w:rFonts w:ascii="Calibri" w:hAnsi="Calibri"/>
                <w:sz w:val="22"/>
              </w:rPr>
              <w:t>109.5</w:t>
            </w:r>
          </w:p>
        </w:tc>
        <w:tc>
          <w:tcPr>
            <w:tcW w:type="dxa" w:w="2160"/>
          </w:tcPr>
          <w:p>
            <w:r>
              <w:rPr>
                <w:rFonts w:ascii="Calibri" w:hAnsi="Calibri"/>
                <w:sz w:val="22"/>
              </w:rPr>
              <w:t>104.5</w:t>
            </w:r>
          </w:p>
        </w:tc>
        <w:tc>
          <w:tcPr>
            <w:tcW w:type="dxa" w:w="2160"/>
          </w:tcPr>
          <w:p>
            <w:r>
              <w:rPr>
                <w:rFonts w:ascii="Calibri" w:hAnsi="Calibri"/>
                <w:sz w:val="22"/>
              </w:rPr>
              <w:t>103.1</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May 1, 2026:</w:t>
      </w:r>
      <w:r>
        <w:rPr>
          <w:rFonts w:ascii="Calibri" w:hAnsi="Calibri"/>
          <w:color w:val="525866"/>
          <w:sz w:val="22"/>
        </w:rPr>
        <w:t xml:space="preserve"> Q1 2026 earnings call — beat on Core FFO, guidance unchanged, California sale on track.</w:t>
      </w:r>
    </w:p>
    <w:p>
      <w:pPr>
        <w:pStyle w:val="ListBullet"/>
        <w:ind w:left="360" w:hanging="360"/>
      </w:pPr>
      <w:r>
        <w:rPr>
          <w:rFonts w:ascii="Calibri" w:hAnsi="Calibri"/>
          <w:b/>
          <w:color w:val="525866"/>
          <w:sz w:val="22"/>
        </w:rPr>
        <w:t>Jun 1–3, 2026:</w:t>
      </w:r>
      <w:r>
        <w:rPr>
          <w:rFonts w:ascii="Calibri" w:hAnsi="Calibri"/>
          <w:color w:val="525866"/>
          <w:sz w:val="22"/>
        </w:rPr>
        <w:t xml:space="preserve"> Nareit REITweek — management confirmed Q2 tracking in line with guidance; stock began re-rating.</w:t>
      </w:r>
    </w:p>
    <w:p>
      <w:pPr>
        <w:pStyle w:val="ListBullet"/>
        <w:ind w:left="360" w:hanging="360"/>
      </w:pPr>
      <w:r>
        <w:rPr>
          <w:rFonts w:ascii="Calibri" w:hAnsi="Calibri"/>
          <w:b/>
          <w:color w:val="525866"/>
          <w:sz w:val="22"/>
        </w:rPr>
        <w:t>Jun 4–5, 2026:</w:t>
      </w:r>
      <w:r>
        <w:rPr>
          <w:rFonts w:ascii="Calibri" w:hAnsi="Calibri"/>
          <w:color w:val="525866"/>
          <w:sz w:val="22"/>
        </w:rPr>
        <w:t xml:space="preserve"> CPT surged ~+6% over two days, likely on California sale close confirmation/market speculation.</w:t>
      </w:r>
    </w:p>
    <w:p>
      <w:pPr>
        <w:pStyle w:val="ListBullet"/>
        <w:ind w:left="360" w:hanging="360"/>
      </w:pPr>
      <w:r>
        <w:rPr>
          <w:rFonts w:ascii="Calibri" w:hAnsi="Calibri"/>
          <w:b/>
          <w:color w:val="525866"/>
          <w:sz w:val="22"/>
        </w:rPr>
        <w:t>Jun 9, 2026:</w:t>
      </w:r>
      <w:r>
        <w:rPr>
          <w:rFonts w:ascii="Calibri" w:hAnsi="Calibri"/>
          <w:color w:val="525866"/>
          <w:sz w:val="22"/>
        </w:rPr>
        <w:t xml:space="preserve"> CPT hit $115.40, its highest level since Q1 earnings.</w:t>
      </w:r>
    </w:p>
    <w:p>
      <w:pPr>
        <w:pStyle w:val="ListBullet"/>
        <w:ind w:left="360" w:hanging="360"/>
      </w:pPr>
      <w:r>
        <w:rPr>
          <w:rFonts w:ascii="Calibri" w:hAnsi="Calibri"/>
          <w:b/>
          <w:color w:val="525866"/>
          <w:sz w:val="22"/>
        </w:rPr>
        <w:t>Jul 7, 2026:</w:t>
      </w:r>
      <w:r>
        <w:rPr>
          <w:rFonts w:ascii="Calibri" w:hAnsi="Calibri"/>
          <w:color w:val="525866"/>
          <w:sz w:val="22"/>
        </w:rPr>
        <w:t xml:space="preserve"> CPT announced Q2 earnings release date (July 30 AMC) and conference call (July 31, 11 AM ET).</w:t>
      </w:r>
    </w:p>
    <w:p>
      <w:r>
        <w:rPr>
          <w:rFonts w:ascii="Calibri" w:hAnsi="Calibri"/>
          <w:b/>
          <w:color w:val="525866"/>
          <w:sz w:val="22"/>
        </w:rPr>
        <w:t xml:space="preserve">Valuation Context: </w:t>
      </w:r>
      <w:r>
        <w:rPr>
          <w:rFonts w:ascii="Calibri" w:hAnsi="Calibri"/>
          <w:color w:val="525866"/>
          <w:sz w:val="22"/>
        </w:rPr>
        <w:t>NTM EV/EBITDA has expanded from ~16.7x (3 months ago) to ~18.6x today, with the 3-month stock gain of ~+10% almost entirely attributable to multiple expansion rather than estimate upgrades. This raises the bar for the Q2 print to sustain the re-rating.</w:t>
      </w:r>
    </w:p>
    <w:p>
      <w:r>
        <w:rPr>
          <w:rFonts w:ascii="Calibri" w:hAnsi="Calibri"/>
          <w:i/>
          <w:color w:val="525866"/>
          <w:sz w:val="22"/>
        </w:rPr>
        <w:t>Source: Yahoo Finance (stock price data); Visible Alpha (NTM EV/EBITDA multiples).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California portfolio sale — targeted for late June/early July close — is the most consequential development since Q1 earnings; confirmation of a clean close and 1031 exchange deployment progress will be the primary focus of the Q2 call. Separately, the broader multifamily REIT sector has seen peers raise guidance, providing a constructive read-through for CPT's own H2 recovery thesis.</w:t>
      </w:r>
    </w:p>
    <w:p>
      <w:pPr>
        <w:pStyle w:val="ListBullet"/>
        <w:ind w:left="360" w:hanging="360"/>
      </w:pPr>
      <w:r>
        <w:rPr>
          <w:rFonts w:ascii="Calibri" w:hAnsi="Calibri"/>
          <w:b/>
          <w:color w:val="525866"/>
          <w:sz w:val="22"/>
        </w:rPr>
        <w:t>Jun 1, 2026 — Nareit REITweek Operating Update (Camden Press Release):</w:t>
      </w:r>
      <w:r>
        <w:rPr>
          <w:rFonts w:ascii="Calibri" w:hAnsi="Calibri"/>
          <w:color w:val="525866"/>
          <w:sz w:val="22"/>
        </w:rPr>
        <w:t xml:space="preserve"> Camden confirmed Q2 2026 performance is tracking in line with guidance provided at Q1 earnings. No guidance changes. </w:t>
      </w:r>
      <w:r>
        <w:rPr>
          <w:rFonts w:ascii="Calibri" w:hAnsi="Calibri"/>
          <w:b/>
          <w:color w:val="525866"/>
          <w:sz w:val="22"/>
        </w:rPr>
        <w:t>Implication:</w:t>
      </w:r>
      <w:r>
        <w:rPr>
          <w:rFonts w:ascii="Calibri" w:hAnsi="Calibri"/>
          <w:color w:val="525866"/>
          <w:sz w:val="22"/>
        </w:rPr>
        <w:t xml:space="preserve"> Removes downside risk of a mid-quarter guidance cut; sets a clean baseline for the Q2 print.</w:t>
      </w:r>
    </w:p>
    <w:p>
      <w:pPr>
        <w:pStyle w:val="ListBullet"/>
        <w:ind w:left="360" w:hanging="360"/>
      </w:pPr>
      <w:r>
        <w:rPr>
          <w:rFonts w:ascii="Calibri" w:hAnsi="Calibri"/>
          <w:b/>
          <w:color w:val="525866"/>
          <w:sz w:val="22"/>
        </w:rPr>
        <w:t>Jun 4–5, 2026 — California Portfolio Sale Catalyst:</w:t>
      </w:r>
      <w:r>
        <w:rPr>
          <w:rFonts w:ascii="Calibri" w:hAnsi="Calibri"/>
          <w:color w:val="525866"/>
          <w:sz w:val="22"/>
        </w:rPr>
        <w:t xml:space="preserve"> CPT stock surged ~+6% over two sessions, likely reflecting market expectations of an imminent California portfolio close. Management had guided for a late June/early July close with one buyer in diligence. </w:t>
      </w:r>
      <w:r>
        <w:rPr>
          <w:rFonts w:ascii="Calibri" w:hAnsi="Calibri"/>
          <w:b/>
          <w:color w:val="525866"/>
          <w:sz w:val="22"/>
        </w:rPr>
        <w:t>Implication:</w:t>
      </w:r>
      <w:r>
        <w:rPr>
          <w:rFonts w:ascii="Calibri" w:hAnsi="Calibri"/>
          <w:color w:val="525866"/>
          <w:sz w:val="22"/>
        </w:rPr>
        <w:t xml:space="preserve"> Confirmation of close on the Q2 call would unlock ~$650M in remaining buyback capacity and ~$1B in 1031 exchange reinvestment, both of which are not in current guidance.</w:t>
      </w:r>
    </w:p>
    <w:p>
      <w:pPr>
        <w:pStyle w:val="ListBullet"/>
        <w:ind w:left="360" w:hanging="360"/>
      </w:pPr>
      <w:r>
        <w:rPr>
          <w:rFonts w:ascii="Calibri" w:hAnsi="Calibri"/>
          <w:b/>
          <w:color w:val="525866"/>
          <w:sz w:val="22"/>
        </w:rPr>
        <w:t>Jul 7, 2026 — Q2 Earnings Date Announcement:</w:t>
      </w:r>
      <w:r>
        <w:rPr>
          <w:rFonts w:ascii="Calibri" w:hAnsi="Calibri"/>
          <w:color w:val="525866"/>
          <w:sz w:val="22"/>
        </w:rPr>
        <w:t xml:space="preserve"> Camden announced Q2 2026 results will be released after market close July 30, with a conference call July 31 at 11 AM ET. </w:t>
      </w:r>
      <w:r>
        <w:rPr>
          <w:rFonts w:ascii="Calibri" w:hAnsi="Calibri"/>
          <w:b/>
          <w:color w:val="525866"/>
          <w:sz w:val="22"/>
        </w:rPr>
        <w:t>Implication:</w:t>
      </w:r>
      <w:r>
        <w:rPr>
          <w:rFonts w:ascii="Calibri" w:hAnsi="Calibri"/>
          <w:color w:val="525866"/>
          <w:sz w:val="22"/>
        </w:rPr>
        <w:t xml:space="preserve"> Standard scheduling; no surprise.</w:t>
      </w:r>
    </w:p>
    <w:p>
      <w:pPr>
        <w:pStyle w:val="ListBullet"/>
        <w:ind w:left="360" w:hanging="360"/>
      </w:pPr>
      <w:r>
        <w:rPr>
          <w:rFonts w:ascii="Calibri" w:hAnsi="Calibri"/>
          <w:b/>
          <w:color w:val="525866"/>
          <w:sz w:val="22"/>
        </w:rPr>
        <w:t>Jul 15, 2026 — 21st Century ROAD to Housing Act Enacted:</w:t>
      </w:r>
      <w:r>
        <w:rPr>
          <w:rFonts w:ascii="Calibri" w:hAnsi="Calibri"/>
          <w:color w:val="525866"/>
          <w:sz w:val="22"/>
        </w:rPr>
        <w:t xml:space="preserve"> Congress passed the most comprehensive housing bill of this century with bipartisan support (House 358-32, Senate 85-5), addressing rent affordability and homeownership access. </w:t>
      </w:r>
      <w:r>
        <w:rPr>
          <w:rFonts w:ascii="Calibri" w:hAnsi="Calibri"/>
          <w:b/>
          <w:color w:val="525866"/>
          <w:sz w:val="22"/>
        </w:rPr>
        <w:t>Implication:</w:t>
      </w:r>
      <w:r>
        <w:rPr>
          <w:rFonts w:ascii="Calibri" w:hAnsi="Calibri"/>
          <w:color w:val="525866"/>
          <w:sz w:val="22"/>
        </w:rPr>
        <w:t xml:space="preserve"> Potential long-term headwind if legislation meaningfully increases housing supply, but near-term impact on CPT's Sunbelt markets is limited given construction lead times.</w:t>
      </w:r>
    </w:p>
    <w:p>
      <w:pPr>
        <w:pStyle w:val="ListBullet"/>
        <w:ind w:left="360" w:hanging="360"/>
      </w:pPr>
      <w:r>
        <w:rPr>
          <w:rFonts w:ascii="Calibri" w:hAnsi="Calibri"/>
          <w:b/>
          <w:color w:val="525866"/>
          <w:sz w:val="22"/>
        </w:rPr>
        <w:t>Jul 22–Jul 29, 2026 — Multifamily Peer Earnings (EQR, AVB, UDR, MAA):</w:t>
      </w:r>
      <w:r>
        <w:rPr>
          <w:rFonts w:ascii="Calibri" w:hAnsi="Calibri"/>
          <w:color w:val="525866"/>
          <w:sz w:val="22"/>
        </w:rPr>
        <w:t xml:space="preserve"> All four major multifamily peers reported Q2 2026 results, with EQR, AVB, and UDR raising full-year guidance and citing improving demand, easing supply, and strong occupancy. MAA raised Core FFO guidance range while lowering SS revenue midpoint. </w:t>
      </w:r>
      <w:r>
        <w:rPr>
          <w:rFonts w:ascii="Calibri" w:hAnsi="Calibri"/>
          <w:b/>
          <w:color w:val="525866"/>
          <w:sz w:val="22"/>
        </w:rPr>
        <w:t>Implication:</w:t>
      </w:r>
      <w:r>
        <w:rPr>
          <w:rFonts w:ascii="Calibri" w:hAnsi="Calibri"/>
          <w:color w:val="525866"/>
          <w:sz w:val="22"/>
        </w:rPr>
        <w:t xml:space="preserve"> Broadly constructive read-through for CPT's Sunbelt-heavy portfolio, particularly UDR's commentary on Sunbelt blended rates improving from -7% to -5.5% to -6% in July.</w:t>
      </w:r>
    </w:p>
    <w:p>
      <w:pPr>
        <w:pStyle w:val="ListBullet"/>
        <w:ind w:left="360" w:hanging="360"/>
      </w:pPr>
      <w:r>
        <w:rPr>
          <w:rFonts w:ascii="Calibri" w:hAnsi="Calibri"/>
          <w:b/>
          <w:color w:val="525866"/>
          <w:sz w:val="22"/>
        </w:rPr>
        <w:t>Jul 25, 2026 — Austin Rent Deflation Noted:</w:t>
      </w:r>
      <w:r>
        <w:rPr>
          <w:rFonts w:ascii="Calibri" w:hAnsi="Calibri"/>
          <w:color w:val="525866"/>
          <w:sz w:val="22"/>
        </w:rPr>
        <w:t xml:space="preserve"> Bloomberg reported inflation-adjusted rents in Austin have fallen 19% since 2021, bringing the median below national levels. </w:t>
      </w:r>
      <w:r>
        <w:rPr>
          <w:rFonts w:ascii="Calibri" w:hAnsi="Calibri"/>
          <w:b/>
          <w:color w:val="525866"/>
          <w:sz w:val="22"/>
        </w:rPr>
        <w:t>Implication:</w:t>
      </w:r>
      <w:r>
        <w:rPr>
          <w:rFonts w:ascii="Calibri" w:hAnsi="Calibri"/>
          <w:color w:val="525866"/>
          <w:sz w:val="22"/>
        </w:rPr>
        <w:t xml:space="preserve"> Confirms the supply absorption challenge in CPT's Austin market, though management has already flagged Austin as a market showing green shoots.</w:t>
      </w:r>
    </w:p>
    <w:p>
      <w:pPr>
        <w:pStyle w:val="ListBullet"/>
        <w:ind w:left="360" w:hanging="360"/>
      </w:pPr>
      <w:r>
        <w:rPr>
          <w:rFonts w:ascii="Calibri" w:hAnsi="Calibri"/>
          <w:b/>
          <w:color w:val="525866"/>
          <w:sz w:val="22"/>
        </w:rPr>
        <w:t>Jul 29, 2026 — MAA Q2 2026 Results:</w:t>
      </w:r>
      <w:r>
        <w:rPr>
          <w:rFonts w:ascii="Calibri" w:hAnsi="Calibri"/>
          <w:color w:val="525866"/>
          <w:sz w:val="22"/>
        </w:rPr>
        <w:t xml:space="preserve"> MAA reported Q2 Core FFO of $2.08/share and lowered SS revenue growth midpoint to +0.10% (from +0.55%) while maintaining Core FFO guidance midpoint at $8.53. CEO cited 'steady demand increasingly outweighs declining pressure from new deliveries.' </w:t>
      </w:r>
      <w:r>
        <w:rPr>
          <w:rFonts w:ascii="Calibri" w:hAnsi="Calibri"/>
          <w:b/>
          <w:color w:val="525866"/>
          <w:sz w:val="22"/>
        </w:rPr>
        <w:t>Implication:</w:t>
      </w:r>
      <w:r>
        <w:rPr>
          <w:rFonts w:ascii="Calibri" w:hAnsi="Calibri"/>
          <w:color w:val="525866"/>
          <w:sz w:val="22"/>
        </w:rPr>
        <w:t xml:space="preserve"> Mixed read-through — demand commentary is positive but SS revenue guide-down suggests Sunbelt pricing recovery is slower than hoped.</w:t>
      </w:r>
    </w:p>
    <w:p>
      <w:pPr>
        <w:pStyle w:val="ListBullet"/>
        <w:ind w:left="360" w:hanging="360"/>
      </w:pPr>
      <w:r>
        <w:rPr>
          <w:rFonts w:ascii="Calibri" w:hAnsi="Calibri"/>
          <w:b/>
          <w:color w:val="525866"/>
          <w:sz w:val="22"/>
        </w:rPr>
        <w:t>Macro: Fed Policy &amp; Rates:</w:t>
      </w:r>
      <w:r>
        <w:rPr>
          <w:rFonts w:ascii="Calibri" w:hAnsi="Calibri"/>
          <w:color w:val="525866"/>
          <w:sz w:val="22"/>
        </w:rPr>
        <w:t xml:space="preserve"> The Fed is expected to hold rates at 3.5%–3.75% at the July 29 meeting, with a 30% probability of a September hike. The 10-year real yield exceeds 2%, the highest sustained level since 2008. </w:t>
      </w:r>
      <w:r>
        <w:rPr>
          <w:rFonts w:ascii="Calibri" w:hAnsi="Calibri"/>
          <w:b/>
          <w:color w:val="525866"/>
          <w:sz w:val="22"/>
        </w:rPr>
        <w:t>Implication:</w:t>
      </w:r>
      <w:r>
        <w:rPr>
          <w:rFonts w:ascii="Calibri" w:hAnsi="Calibri"/>
          <w:color w:val="525866"/>
          <w:sz w:val="22"/>
        </w:rPr>
        <w:t xml:space="preserve"> Elevated rates continue to suppress the rent-vs-buy calculus, supporting rental demand (move-outs to home purchase at record lows of ~9%), but also weigh on CPT's cap rate spread and valuation multiple.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only notable insider transaction since Q1 earnings is a discretionary open-market sale by Executive Chairman Ric Campo on June 5, 2026 — the same day CPT was surging on California sale speculation. The sale of 30,000 shares (~$3.4M) is worth flagging given the timing, though Campo retains a substantial position of ~297,000 shares. No open-market buys have been filed.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Richard J. Campo</w:t>
            </w:r>
          </w:p>
        </w:tc>
        <w:tc>
          <w:tcPr>
            <w:tcW w:type="dxa" w:w="1234"/>
          </w:tcPr>
          <w:p>
            <w:r>
              <w:rPr>
                <w:rFonts w:ascii="Calibri" w:hAnsi="Calibri"/>
                <w:sz w:val="22"/>
              </w:rPr>
              <w:t>Executive Chairman &amp; Director (Co-Founder)</w:t>
            </w:r>
          </w:p>
        </w:tc>
        <w:tc>
          <w:tcPr>
            <w:tcW w:type="dxa" w:w="1234"/>
          </w:tcPr>
          <w:p>
            <w:r>
              <w:rPr>
                <w:rFonts w:ascii="Calibri" w:hAnsi="Calibri"/>
                <w:sz w:val="22"/>
              </w:rPr>
              <w:t>Open Market Sale</w:t>
            </w:r>
          </w:p>
        </w:tc>
        <w:tc>
          <w:tcPr>
            <w:tcW w:type="dxa" w:w="1234"/>
          </w:tcPr>
          <w:p>
            <w:r>
              <w:rPr>
                <w:rFonts w:ascii="Calibri" w:hAnsi="Calibri"/>
                <w:sz w:val="22"/>
              </w:rPr>
              <w:t>30,000</w:t>
            </w:r>
          </w:p>
        </w:tc>
        <w:tc>
          <w:tcPr>
            <w:tcW w:type="dxa" w:w="1234"/>
          </w:tcPr>
          <w:p>
            <w:r>
              <w:rPr>
                <w:rFonts w:ascii="Calibri" w:hAnsi="Calibri"/>
                <w:sz w:val="22"/>
              </w:rPr>
              <w:t>~$3.4M (at ~$112/share)</w:t>
            </w:r>
          </w:p>
        </w:tc>
        <w:tc>
          <w:tcPr>
            <w:tcW w:type="dxa" w:w="1234"/>
          </w:tcPr>
          <w:p>
            <w:r>
              <w:rPr>
                <w:rFonts w:ascii="Calibri" w:hAnsi="Calibri"/>
                <w:sz w:val="22"/>
              </w:rPr>
              <w:t>Jun 5, 2026</w:t>
            </w:r>
          </w:p>
        </w:tc>
        <w:tc>
          <w:tcPr>
            <w:tcW w:type="dxa" w:w="1234"/>
          </w:tcPr>
          <w:p>
            <w:r>
              <w:rPr>
                <w:rFonts w:ascii="Calibri" w:hAnsi="Calibri"/>
                <w:sz w:val="22"/>
              </w:rPr>
              <w:t>Discretionary sale (no 10b5-1 plan indicated); sold during CPT's 2-day surge on CA sale catalyst; retains ~297,437 shares</w:t>
            </w:r>
          </w:p>
        </w:tc>
      </w:tr>
    </w:tbl>
    <w:p>
      <w:r>
        <w:rPr>
          <w:rFonts w:ascii="Calibri" w:hAnsi="Calibri"/>
          <w:color w:val="525866"/>
          <w:sz w:val="22"/>
        </w:rPr>
        <w:t>No other open-market buys or sells filed by CPT insiders in the last 60 days. The absence of insider buying despite management's repeated characterization of the stock as trading at a 30% discount to NAV is notable, though the co-founder's sale is a modest offset to that narrative. The new CEO (Alex Jessett), President (Laurie Baker), and CFO (Ben Fraker) have not filed any open-market transactions since their promotions.</w:t>
      </w:r>
    </w:p>
    <w:p>
      <w:r>
        <w:rPr>
          <w:rFonts w:ascii="Calibri" w:hAnsi="Calibri"/>
          <w:i/>
          <w:color w:val="525866"/>
          <w:sz w:val="22"/>
        </w:rPr>
        <w:t>Source: SEC Form 4 Filings Database; SEC EDGAR (Form 4 filing dated June 5, 2026).</w:t>
      </w:r>
    </w:p>
    <w:p>
      <w:r>
        <w:br w:type="page"/>
      </w:r>
    </w:p>
    <w:p>
      <w:pPr>
        <w:pStyle w:val="Heading2"/>
      </w:pPr>
      <w:r>
        <w:rPr>
          <w:rFonts w:ascii="Calibri" w:hAnsi="Calibri"/>
          <w:b/>
          <w:color w:val="3B4259"/>
          <w:sz w:val="28"/>
        </w:rPr>
        <w:t>8. Peer Read-Through Commentaries</w:t>
      </w:r>
    </w:p>
    <w:p>
      <w:r>
        <w:rPr>
          <w:rFonts w:ascii="Calibri" w:hAnsi="Calibri"/>
          <w:b/>
          <w:color w:val="525866"/>
          <w:sz w:val="22"/>
        </w:rPr>
        <w:t xml:space="preserve">Key Takeaway: </w:t>
      </w:r>
      <w:r>
        <w:rPr>
          <w:rFonts w:ascii="Calibri" w:hAnsi="Calibri"/>
          <w:color w:val="525866"/>
          <w:sz w:val="22"/>
        </w:rPr>
        <w:t xml:space="preserve">Peers reporting Q2 2026 results in the last week have broadly confirmed the supply absorption thesis that underpins CPT's H2 recovery narrative — demand is outpacing supply, occupancy is at or near historical highs, and renewal rates remain firm. However, </w:t>
      </w:r>
      <w:r>
        <w:rPr>
          <w:rFonts w:ascii="Calibri" w:hAnsi="Calibri"/>
          <w:b/>
          <w:color w:val="525866"/>
          <w:sz w:val="22"/>
        </w:rPr>
        <w:t>new lease rate growth in Sunbelt markets remains negative</w:t>
      </w:r>
      <w:r>
        <w:rPr>
          <w:rFonts w:ascii="Calibri" w:hAnsi="Calibri"/>
          <w:color w:val="525866"/>
          <w:sz w:val="22"/>
        </w:rPr>
        <w:t xml:space="preserve"> (UDR: -5.5% to -6% in July; MAA lowered SS revenue guidance), suggesting the pricing recovery is more gradual than hoped. The coastal-market outperformance (EQR, ESS, AVB all raising guidance) is a less direct read-through for CPT's Sunbelt-heavy portfolio.</w:t>
      </w:r>
    </w:p>
    <w:p>
      <w:r>
        <w:rPr>
          <w:rFonts w:ascii="Calibri" w:hAnsi="Calibri"/>
          <w:i/>
          <w:color w:val="525866"/>
          <w:sz w:val="22"/>
        </w:rPr>
        <w:t>Note: Only forward-looking commentary about Q3 2026, H2 2026, or FY 2026 from peer earnings calls/releases in the last 60 days is included below. Purely backward-looking Q2 2026 result commentary is excluded.</w:t>
      </w:r>
    </w:p>
    <w:p>
      <w:pPr>
        <w:pStyle w:val="Heading3"/>
      </w:pPr>
      <w:r>
        <w:rPr>
          <w:rFonts w:ascii="Calibri" w:hAnsi="Calibri"/>
          <w:b/>
          <w:color w:val="3B4259"/>
          <w:sz w:val="24"/>
        </w:rPr>
        <w:t>UDR (Q2 2026 Earnings Call, July 28, 2026) — Most Relevant Sunbelt Read-Through</w:t>
      </w:r>
    </w:p>
    <w:p>
      <w:r>
        <w:rPr>
          <w:rFonts w:ascii="Calibri" w:hAnsi="Calibri"/>
          <w:b/>
          <w:color w:val="525866"/>
          <w:sz w:val="22"/>
        </w:rPr>
        <w:t xml:space="preserve">Relevance to CPT: </w:t>
      </w:r>
      <w:r>
        <w:rPr>
          <w:rFonts w:ascii="Calibri" w:hAnsi="Calibri"/>
          <w:color w:val="525866"/>
          <w:sz w:val="22"/>
        </w:rPr>
        <w:t>UDR has ~25% Sunbelt NOI exposure, making its Sunbelt-specific forward commentary the most direct read-through for CPT's portfolio.</w:t>
      </w:r>
    </w:p>
    <w:p>
      <w:pPr>
        <w:pStyle w:val="ListBullet"/>
        <w:ind w:left="360" w:hanging="360"/>
      </w:pPr>
      <w:r>
        <w:rPr>
          <w:rFonts w:ascii="Calibri" w:hAnsi="Calibri"/>
          <w:b/>
          <w:color w:val="525866"/>
          <w:sz w:val="22"/>
        </w:rPr>
        <w:t>Sunbelt blended lease rates improving:</w:t>
      </w:r>
      <w:r>
        <w:rPr>
          <w:rFonts w:ascii="Calibri" w:hAnsi="Calibri"/>
          <w:color w:val="525866"/>
          <w:sz w:val="22"/>
        </w:rPr>
        <w:t xml:space="preserve"> UDR reported Sunbelt blended rent growth of -2% in Q2 2026, improving to approximately -1.5% month-to-date in July. New lease growth in Sunbelt markets moved from -7% to -7.5% in Q2 to approximately -5.5% to -6% in July. </w:t>
      </w:r>
      <w:r>
        <w:rPr>
          <w:rFonts w:ascii="Calibri" w:hAnsi="Calibri"/>
          <w:b/>
          <w:color w:val="525866"/>
          <w:sz w:val="22"/>
        </w:rPr>
        <w:t>CPT read-through:</w:t>
      </w:r>
      <w:r>
        <w:rPr>
          <w:rFonts w:ascii="Calibri" w:hAnsi="Calibri"/>
          <w:color w:val="525866"/>
          <w:sz w:val="22"/>
        </w:rPr>
        <w:t xml:space="preserve"> Directionally positive — Sunbelt new lease rates are improving sequentially, consistent with CPT's April green shoots commentary, though still negative.</w:t>
      </w:r>
    </w:p>
    <w:p>
      <w:pPr>
        <w:pStyle w:val="ListBullet"/>
        <w:ind w:left="360" w:hanging="360"/>
      </w:pPr>
      <w:r>
        <w:rPr>
          <w:rFonts w:ascii="Calibri" w:hAnsi="Calibri"/>
          <w:b/>
          <w:color w:val="525866"/>
          <w:sz w:val="22"/>
        </w:rPr>
        <w:t>Full-year SS revenue guidance raised:</w:t>
      </w:r>
      <w:r>
        <w:rPr>
          <w:rFonts w:ascii="Calibri" w:hAnsi="Calibri"/>
          <w:color w:val="525866"/>
          <w:sz w:val="22"/>
        </w:rPr>
        <w:t xml:space="preserve"> UDR raised its FY 2026 SS revenue growth midpoint by 12.5 bps to a new range of 0.75%–2.0%, driven entirely by blended lease rate growth. Occupancy expected in the mid-96% range for the remainder of the year. </w:t>
      </w:r>
      <w:r>
        <w:rPr>
          <w:rFonts w:ascii="Calibri" w:hAnsi="Calibri"/>
          <w:b/>
          <w:color w:val="525866"/>
          <w:sz w:val="22"/>
        </w:rPr>
        <w:t>CPT read-through:</w:t>
      </w:r>
      <w:r>
        <w:rPr>
          <w:rFonts w:ascii="Calibri" w:hAnsi="Calibri"/>
          <w:color w:val="525866"/>
          <w:sz w:val="22"/>
        </w:rPr>
        <w:t xml:space="preserve"> Positive signal that the leasing season is delivering on the recovery thesis, though UDR's coastal-heavy mix (75% of NOI) limits direct comparability.</w:t>
      </w:r>
    </w:p>
    <w:p>
      <w:pPr>
        <w:pStyle w:val="ListBullet"/>
        <w:ind w:left="360" w:hanging="360"/>
      </w:pPr>
      <w:r>
        <w:rPr>
          <w:rFonts w:ascii="Calibri" w:hAnsi="Calibri"/>
          <w:b/>
          <w:color w:val="525866"/>
          <w:sz w:val="22"/>
        </w:rPr>
        <w:t>Demand outpacing supply:</w:t>
      </w:r>
      <w:r>
        <w:rPr>
          <w:rFonts w:ascii="Calibri" w:hAnsi="Calibri"/>
          <w:color w:val="525866"/>
          <w:sz w:val="22"/>
        </w:rPr>
        <w:t xml:space="preserve"> 'Demand for our high-quality apartments is outpacing supply' and 'new supply of apartment homes continues to abate.' UDR expects a better 2027 as supply pressure eases further. </w:t>
      </w:r>
      <w:r>
        <w:rPr>
          <w:rFonts w:ascii="Calibri" w:hAnsi="Calibri"/>
          <w:b/>
          <w:color w:val="525866"/>
          <w:sz w:val="22"/>
        </w:rPr>
        <w:t>CPT read-through:</w:t>
      </w:r>
      <w:r>
        <w:rPr>
          <w:rFonts w:ascii="Calibri" w:hAnsi="Calibri"/>
          <w:color w:val="525866"/>
          <w:sz w:val="22"/>
        </w:rPr>
        <w:t xml:space="preserve"> Confirms the macro supply absorption narrative that CPT management has been articulating since Q4 2025.</w:t>
      </w:r>
    </w:p>
    <w:p>
      <w:pPr>
        <w:pStyle w:val="ListBullet"/>
        <w:ind w:left="360" w:hanging="360"/>
      </w:pPr>
      <w:r>
        <w:rPr>
          <w:rFonts w:ascii="Calibri" w:hAnsi="Calibri"/>
          <w:b/>
          <w:color w:val="525866"/>
          <w:sz w:val="22"/>
        </w:rPr>
        <w:t>Renewal rates firm:</w:t>
      </w:r>
      <w:r>
        <w:rPr>
          <w:rFonts w:ascii="Calibri" w:hAnsi="Calibri"/>
          <w:color w:val="525866"/>
          <w:sz w:val="22"/>
        </w:rPr>
        <w:t xml:space="preserve"> UDR sending renewal offers at 5%–5.5%, negotiating ~100 bps, with Q3 achieved renewals expected at approximately +4%. </w:t>
      </w:r>
      <w:r>
        <w:rPr>
          <w:rFonts w:ascii="Calibri" w:hAnsi="Calibri"/>
          <w:b/>
          <w:color w:val="525866"/>
          <w:sz w:val="22"/>
        </w:rPr>
        <w:t>CPT read-through:</w:t>
      </w:r>
      <w:r>
        <w:rPr>
          <w:rFonts w:ascii="Calibri" w:hAnsi="Calibri"/>
          <w:color w:val="525866"/>
          <w:sz w:val="22"/>
        </w:rPr>
        <w:t xml:space="preserve"> CPT sent May/June/July renewal offers at mid-3% range — UDR's higher renewal rates reflect its coastal mix, but the direction (firm renewals) is consistent.</w:t>
      </w:r>
    </w:p>
    <w:p>
      <w:pPr>
        <w:pStyle w:val="ListBullet"/>
        <w:ind w:left="360" w:hanging="360"/>
      </w:pPr>
      <w:r>
        <w:rPr>
          <w:rFonts w:ascii="Calibri" w:hAnsi="Calibri"/>
          <w:b/>
          <w:color w:val="525866"/>
          <w:sz w:val="22"/>
        </w:rPr>
        <w:t>New lease growth flat through September:</w:t>
      </w:r>
      <w:r>
        <w:rPr>
          <w:rFonts w:ascii="Calibri" w:hAnsi="Calibri"/>
          <w:color w:val="525866"/>
          <w:sz w:val="22"/>
        </w:rPr>
        <w:t xml:space="preserve"> UDR expects new lease growth to be approximately flat through September, 'a little more elongated than originally thought.' </w:t>
      </w:r>
      <w:r>
        <w:rPr>
          <w:rFonts w:ascii="Calibri" w:hAnsi="Calibri"/>
          <w:b/>
          <w:color w:val="525866"/>
          <w:sz w:val="22"/>
        </w:rPr>
        <w:t>CPT read-through:</w:t>
      </w:r>
      <w:r>
        <w:rPr>
          <w:rFonts w:ascii="Calibri" w:hAnsi="Calibri"/>
          <w:color w:val="525866"/>
          <w:sz w:val="22"/>
        </w:rPr>
        <w:t xml:space="preserve"> Mild negative — suggests the new lease recovery is taking longer than expected, which could weigh on CPT's blended rate trajectory in Q3.</w:t>
      </w:r>
    </w:p>
    <w:p>
      <w:pPr>
        <w:pStyle w:val="ListBullet"/>
        <w:ind w:left="360" w:hanging="360"/>
      </w:pPr>
      <w:r>
        <w:rPr>
          <w:rFonts w:ascii="Calibri" w:hAnsi="Calibri"/>
          <w:b/>
          <w:color w:val="525866"/>
          <w:sz w:val="22"/>
        </w:rPr>
        <w:t>FY 2026 FFO raised by $0.01/share:</w:t>
      </w:r>
      <w:r>
        <w:rPr>
          <w:rFonts w:ascii="Calibri" w:hAnsi="Calibri"/>
          <w:color w:val="525866"/>
          <w:sz w:val="22"/>
        </w:rPr>
        <w:t xml:space="preserve"> UDR raised full-year 2026 FFO guidance by one penny per share at the midpoint to $2.53, with SS expense midpoint improved by 50 bps to 3.25%. </w:t>
      </w:r>
      <w:r>
        <w:rPr>
          <w:rFonts w:ascii="Calibri" w:hAnsi="Calibri"/>
          <w:b/>
          <w:color w:val="525866"/>
          <w:sz w:val="22"/>
        </w:rPr>
        <w:t>CPT read-through:</w:t>
      </w:r>
      <w:r>
        <w:rPr>
          <w:rFonts w:ascii="Calibri" w:hAnsi="Calibri"/>
          <w:color w:val="525866"/>
          <w:sz w:val="22"/>
        </w:rPr>
        <w:t xml:space="preserve"> Positive — expense discipline is a theme across the sector, consistent with CPT's own Q1 expense beat.</w:t>
      </w:r>
    </w:p>
    <w:p>
      <w:pPr>
        <w:pStyle w:val="Heading3"/>
      </w:pPr>
      <w:r>
        <w:rPr>
          <w:rFonts w:ascii="Calibri" w:hAnsi="Calibri"/>
          <w:b/>
          <w:color w:val="3B4259"/>
          <w:sz w:val="24"/>
        </w:rPr>
        <w:t>MAA (Q2 2026 Earnings Release, July 29, 2026) — Closest Sunbelt Comp</w:t>
      </w:r>
    </w:p>
    <w:p>
      <w:r>
        <w:rPr>
          <w:rFonts w:ascii="Calibri" w:hAnsi="Calibri"/>
          <w:b/>
          <w:color w:val="525866"/>
          <w:sz w:val="22"/>
        </w:rPr>
        <w:t xml:space="preserve">Relevance to CPT: </w:t>
      </w:r>
      <w:r>
        <w:rPr>
          <w:rFonts w:ascii="Calibri" w:hAnsi="Calibri"/>
          <w:color w:val="525866"/>
          <w:sz w:val="22"/>
        </w:rPr>
        <w:t>MAA is the most direct Sunbelt peer, with a portfolio concentrated in the Southeast, Southwest, and Mid-Atlantic — overlapping significantly with CPT's markets.</w:t>
      </w:r>
    </w:p>
    <w:p>
      <w:pPr>
        <w:pStyle w:val="ListBullet"/>
        <w:ind w:left="360" w:hanging="360"/>
      </w:pPr>
      <w:r>
        <w:rPr>
          <w:rFonts w:ascii="Calibri" w:hAnsi="Calibri"/>
          <w:b/>
          <w:color w:val="525866"/>
          <w:sz w:val="22"/>
        </w:rPr>
        <w:t>SS revenue guidance lowered:</w:t>
      </w:r>
      <w:r>
        <w:rPr>
          <w:rFonts w:ascii="Calibri" w:hAnsi="Calibri"/>
          <w:color w:val="525866"/>
          <w:sz w:val="22"/>
        </w:rPr>
        <w:t xml:space="preserve"> MAA cut its FY 2026 SS property revenue growth midpoint to +0.10% (from +0.55%), citing slower-than-expected pricing recovery. </w:t>
      </w:r>
      <w:r>
        <w:rPr>
          <w:rFonts w:ascii="Calibri" w:hAnsi="Calibri"/>
          <w:b/>
          <w:color w:val="525866"/>
          <w:sz w:val="22"/>
        </w:rPr>
        <w:t>CPT read-through:</w:t>
      </w:r>
      <w:r>
        <w:rPr>
          <w:rFonts w:ascii="Calibri" w:hAnsi="Calibri"/>
          <w:color w:val="525866"/>
          <w:sz w:val="22"/>
        </w:rPr>
        <w:t xml:space="preserve"> Mild negative — the most direct Sunbelt comp is seeing weaker SS revenue than expected, which could pressure CPT's own +0.75% FY guidance midpoint.</w:t>
      </w:r>
    </w:p>
    <w:p>
      <w:pPr>
        <w:pStyle w:val="ListBullet"/>
        <w:ind w:left="360" w:hanging="360"/>
      </w:pPr>
      <w:r>
        <w:rPr>
          <w:rFonts w:ascii="Calibri" w:hAnsi="Calibri"/>
          <w:b/>
          <w:color w:val="525866"/>
          <w:sz w:val="22"/>
        </w:rPr>
        <w:t>SS expense guidance improved:</w:t>
      </w:r>
      <w:r>
        <w:rPr>
          <w:rFonts w:ascii="Calibri" w:hAnsi="Calibri"/>
          <w:color w:val="525866"/>
          <w:sz w:val="22"/>
        </w:rPr>
        <w:t xml:space="preserve"> MAA lowered its FY 2026 SS expense growth midpoint to +1.75% (from +2.65%), providing a meaningful offset to the revenue guide-down. </w:t>
      </w:r>
      <w:r>
        <w:rPr>
          <w:rFonts w:ascii="Calibri" w:hAnsi="Calibri"/>
          <w:b/>
          <w:color w:val="525866"/>
          <w:sz w:val="22"/>
        </w:rPr>
        <w:t>CPT read-through:</w:t>
      </w:r>
      <w:r>
        <w:rPr>
          <w:rFonts w:ascii="Calibri" w:hAnsi="Calibri"/>
          <w:color w:val="525866"/>
          <w:sz w:val="22"/>
        </w:rPr>
        <w:t xml:space="preserve"> Positive — expense outperformance is a sector-wide theme; CPT's own 3.0% expense guidance midpoint may prove conservative.</w:t>
      </w:r>
    </w:p>
    <w:p>
      <w:pPr>
        <w:pStyle w:val="ListBullet"/>
        <w:ind w:left="360" w:hanging="360"/>
      </w:pPr>
      <w:r>
        <w:rPr>
          <w:rFonts w:ascii="Calibri" w:hAnsi="Calibri"/>
          <w:b/>
          <w:color w:val="525866"/>
          <w:sz w:val="22"/>
        </w:rPr>
        <w:t>Core FFO guidance midpoint maintained:</w:t>
      </w:r>
      <w:r>
        <w:rPr>
          <w:rFonts w:ascii="Calibri" w:hAnsi="Calibri"/>
          <w:color w:val="525866"/>
          <w:sz w:val="22"/>
        </w:rPr>
        <w:t xml:space="preserve"> Despite the SS revenue guide-down, MAA maintained its FY 2026 Core FFO midpoint at $8.53 (range narrowed to $8.41–$8.65 from $8.37–$8.69). </w:t>
      </w:r>
      <w:r>
        <w:rPr>
          <w:rFonts w:ascii="Calibri" w:hAnsi="Calibri"/>
          <w:b/>
          <w:color w:val="525866"/>
          <w:sz w:val="22"/>
        </w:rPr>
        <w:t>CPT read-through:</w:t>
      </w:r>
      <w:r>
        <w:rPr>
          <w:rFonts w:ascii="Calibri" w:hAnsi="Calibri"/>
          <w:color w:val="525866"/>
          <w:sz w:val="22"/>
        </w:rPr>
        <w:t xml:space="preserve"> Neutral — suggests expense savings can offset revenue softness at the FFO level, consistent with CPT's own guidance structure.</w:t>
      </w:r>
    </w:p>
    <w:p>
      <w:pPr>
        <w:pStyle w:val="ListBullet"/>
        <w:ind w:left="360" w:hanging="360"/>
      </w:pPr>
      <w:r>
        <w:rPr>
          <w:rFonts w:ascii="Calibri" w:hAnsi="Calibri"/>
          <w:b/>
          <w:color w:val="525866"/>
          <w:sz w:val="22"/>
        </w:rPr>
        <w:t>Demand recovery broadening:</w:t>
      </w:r>
      <w:r>
        <w:rPr>
          <w:rFonts w:ascii="Calibri" w:hAnsi="Calibri"/>
          <w:color w:val="525866"/>
          <w:sz w:val="22"/>
        </w:rPr>
        <w:t xml:space="preserve"> CEO Brad Hill: 'Steady demand increasingly outweighs the declining pressure from new deliveries more broadly across our footprint' and expects 'improved pricing and operating fundamentals to become more broad-based, supporting an accelerating recovery.' </w:t>
      </w:r>
      <w:r>
        <w:rPr>
          <w:rFonts w:ascii="Calibri" w:hAnsi="Calibri"/>
          <w:b/>
          <w:color w:val="525866"/>
          <w:sz w:val="22"/>
        </w:rPr>
        <w:t>CPT read-through:</w:t>
      </w:r>
      <w:r>
        <w:rPr>
          <w:rFonts w:ascii="Calibri" w:hAnsi="Calibri"/>
          <w:color w:val="525866"/>
          <w:sz w:val="22"/>
        </w:rPr>
        <w:t xml:space="preserve"> Positive for the H2 recovery thesis, though the pace of recovery is clearly more gradual than initially hoped.</w:t>
      </w:r>
    </w:p>
    <w:p>
      <w:pPr>
        <w:pStyle w:val="ListBullet"/>
        <w:ind w:left="360" w:hanging="360"/>
      </w:pPr>
      <w:r>
        <w:rPr>
          <w:rFonts w:ascii="Calibri" w:hAnsi="Calibri"/>
          <w:b/>
          <w:color w:val="525866"/>
          <w:sz w:val="22"/>
        </w:rPr>
        <w:t>Q3 2026 Core FFO guidance:</w:t>
      </w:r>
      <w:r>
        <w:rPr>
          <w:rFonts w:ascii="Calibri" w:hAnsi="Calibri"/>
          <w:color w:val="525866"/>
          <w:sz w:val="22"/>
        </w:rPr>
        <w:t xml:space="preserve"> MAA guided Q3 2026 Core FFO to $2.04–$2.16/share ($2.10 midpoint), a modest sequential increase from Q2's $2.08, driven by SS NOI (+$0.01) and non-SS NOI (+$0.02). </w:t>
      </w:r>
      <w:r>
        <w:rPr>
          <w:rFonts w:ascii="Calibri" w:hAnsi="Calibri"/>
          <w:b/>
          <w:color w:val="525866"/>
          <w:sz w:val="22"/>
        </w:rPr>
        <w:t>CPT read-through:</w:t>
      </w:r>
      <w:r>
        <w:rPr>
          <w:rFonts w:ascii="Calibri" w:hAnsi="Calibri"/>
          <w:color w:val="525866"/>
          <w:sz w:val="22"/>
        </w:rPr>
        <w:t xml:space="preserve"> Positive — sequential improvement in Q3 is consistent with CPT's 'hockey stick' recovery narrative for H2 2026.</w:t>
      </w:r>
    </w:p>
    <w:p>
      <w:pPr>
        <w:pStyle w:val="Heading3"/>
      </w:pPr>
      <w:r>
        <w:rPr>
          <w:rFonts w:ascii="Calibri" w:hAnsi="Calibri"/>
          <w:b/>
          <w:color w:val="3B4259"/>
          <w:sz w:val="24"/>
        </w:rPr>
        <w:t>EQR — Equity Residential (Q2 2026 Earnings, July 22, 2026) — Coastal Read-Through</w:t>
      </w:r>
    </w:p>
    <w:p>
      <w:r>
        <w:rPr>
          <w:rFonts w:ascii="Calibri" w:hAnsi="Calibri"/>
          <w:b/>
          <w:color w:val="525866"/>
          <w:sz w:val="22"/>
        </w:rPr>
        <w:t xml:space="preserve">Relevance to CPT: </w:t>
      </w:r>
      <w:r>
        <w:rPr>
          <w:rFonts w:ascii="Calibri" w:hAnsi="Calibri"/>
          <w:color w:val="525866"/>
          <w:sz w:val="22"/>
        </w:rPr>
        <w:t>EQR is primarily coastal (limited direct Sunbelt overlap), but its commentary on demand, occupancy, and bad debt trends is relevant as a sector-wide signal.</w:t>
      </w:r>
    </w:p>
    <w:p>
      <w:pPr>
        <w:pStyle w:val="ListBullet"/>
        <w:ind w:left="360" w:hanging="360"/>
      </w:pPr>
      <w:r>
        <w:rPr>
          <w:rFonts w:ascii="Calibri" w:hAnsi="Calibri"/>
          <w:b/>
          <w:color w:val="525866"/>
          <w:sz w:val="22"/>
        </w:rPr>
        <w:t>Full-year SS guidance raised:</w:t>
      </w:r>
      <w:r>
        <w:rPr>
          <w:rFonts w:ascii="Calibri" w:hAnsi="Calibri"/>
          <w:color w:val="525866"/>
          <w:sz w:val="22"/>
        </w:rPr>
        <w:t xml:space="preserve"> EQR raised FY 2026 SS revenue growth midpoint by 20 bps to 2.1%–2.7% (midpoint 2.4%), and SS NOI growth midpoint by 30 bps to 1.5%–2.1% (midpoint 1.8%). Occupancy guidance held at 96.3%. </w:t>
      </w:r>
      <w:r>
        <w:rPr>
          <w:rFonts w:ascii="Calibri" w:hAnsi="Calibri"/>
          <w:b/>
          <w:color w:val="525866"/>
          <w:sz w:val="22"/>
        </w:rPr>
        <w:t>CPT read-through:</w:t>
      </w:r>
      <w:r>
        <w:rPr>
          <w:rFonts w:ascii="Calibri" w:hAnsi="Calibri"/>
          <w:color w:val="525866"/>
          <w:sz w:val="22"/>
        </w:rPr>
        <w:t xml:space="preserve"> Positive sector signal, though EQR's coastal markets are outperforming Sunbelt; the San Francisco market is specifically cited as a standout driver.</w:t>
      </w:r>
    </w:p>
    <w:p>
      <w:pPr>
        <w:pStyle w:val="ListBullet"/>
        <w:ind w:left="360" w:hanging="360"/>
      </w:pPr>
      <w:r>
        <w:rPr>
          <w:rFonts w:ascii="Calibri" w:hAnsi="Calibri"/>
          <w:b/>
          <w:color w:val="525866"/>
          <w:sz w:val="22"/>
        </w:rPr>
        <w:t>Demand environment described as solid:</w:t>
      </w:r>
      <w:r>
        <w:rPr>
          <w:rFonts w:ascii="Calibri" w:hAnsi="Calibri"/>
          <w:color w:val="525866"/>
          <w:sz w:val="22"/>
        </w:rPr>
        <w:t xml:space="preserve"> CEO Mark Parrell: 'An increasingly supportive job market combined with declining levels of new supply in most of our markets sets the combined company up for great success.' COO Michael Manelis: 'Positive trends around both supply and demand continue to drive our operating performance during the primary leasing season and we continue to observe growing rents.' </w:t>
      </w:r>
      <w:r>
        <w:rPr>
          <w:rFonts w:ascii="Calibri" w:hAnsi="Calibri"/>
          <w:b/>
          <w:color w:val="525866"/>
          <w:sz w:val="22"/>
        </w:rPr>
        <w:t>CPT read-through:</w:t>
      </w:r>
      <w:r>
        <w:rPr>
          <w:rFonts w:ascii="Calibri" w:hAnsi="Calibri"/>
          <w:color w:val="525866"/>
          <w:sz w:val="22"/>
        </w:rPr>
        <w:t xml:space="preserve"> Positive — the macro demand narrative (job market, supply decline) is consistent with CPT's own thesis.</w:t>
      </w:r>
    </w:p>
    <w:p>
      <w:pPr>
        <w:pStyle w:val="ListBullet"/>
        <w:ind w:left="360" w:hanging="360"/>
      </w:pPr>
      <w:r>
        <w:rPr>
          <w:rFonts w:ascii="Calibri" w:hAnsi="Calibri"/>
          <w:b/>
          <w:color w:val="525866"/>
          <w:sz w:val="22"/>
        </w:rPr>
        <w:t>July preliminary data (as of July 15):</w:t>
      </w:r>
      <w:r>
        <w:rPr>
          <w:rFonts w:ascii="Calibri" w:hAnsi="Calibri"/>
          <w:color w:val="525866"/>
          <w:sz w:val="22"/>
        </w:rPr>
        <w:t xml:space="preserve"> EQR's July preliminary results show physical occupancy of 96.2%, new lease change of -0.1%, renewal rate achieved of +4.9%, and blended rate of +3.0%. </w:t>
      </w:r>
      <w:r>
        <w:rPr>
          <w:rFonts w:ascii="Calibri" w:hAnsi="Calibri"/>
          <w:b/>
          <w:color w:val="525866"/>
          <w:sz w:val="22"/>
        </w:rPr>
        <w:t>CPT read-through:</w:t>
      </w:r>
      <w:r>
        <w:rPr>
          <w:rFonts w:ascii="Calibri" w:hAnsi="Calibri"/>
          <w:color w:val="525866"/>
          <w:sz w:val="22"/>
        </w:rPr>
        <w:t xml:space="preserve"> Coastal-specific; CPT's Sunbelt blended rates will be materially lower, but the occupancy stability is a positive read-through.</w:t>
      </w:r>
    </w:p>
    <w:p>
      <w:pPr>
        <w:pStyle w:val="ListBullet"/>
        <w:ind w:left="360" w:hanging="360"/>
      </w:pPr>
      <w:r>
        <w:rPr>
          <w:rFonts w:ascii="Calibri" w:hAnsi="Calibri"/>
          <w:b/>
          <w:color w:val="525866"/>
          <w:sz w:val="22"/>
        </w:rPr>
        <w:t>Bad debt improvement driving guidance raise:</w:t>
      </w:r>
      <w:r>
        <w:rPr>
          <w:rFonts w:ascii="Calibri" w:hAnsi="Calibri"/>
          <w:color w:val="525866"/>
          <w:sz w:val="22"/>
        </w:rPr>
        <w:t xml:space="preserve"> EQR cited 'improvements in bad debt across the portfolio' as a primary driver of the guidance increase, particularly in San Francisco. </w:t>
      </w:r>
      <w:r>
        <w:rPr>
          <w:rFonts w:ascii="Calibri" w:hAnsi="Calibri"/>
          <w:b/>
          <w:color w:val="525866"/>
          <w:sz w:val="22"/>
        </w:rPr>
        <w:t>CPT read-through:</w:t>
      </w:r>
      <w:r>
        <w:rPr>
          <w:rFonts w:ascii="Calibri" w:hAnsi="Calibri"/>
          <w:color w:val="525866"/>
          <w:sz w:val="22"/>
        </w:rPr>
        <w:t xml:space="preserve"> Positive — CPT's Q1 bad debt was already at a post-COVID low (&lt;40 bps); sector-wide bad debt improvement suggests this trend may be durable rather than a one-quarter anomaly.</w:t>
      </w:r>
    </w:p>
    <w:p>
      <w:pPr>
        <w:pStyle w:val="Heading3"/>
      </w:pPr>
      <w:r>
        <w:rPr>
          <w:rFonts w:ascii="Calibri" w:hAnsi="Calibri"/>
          <w:b/>
          <w:color w:val="3B4259"/>
          <w:sz w:val="24"/>
        </w:rPr>
        <w:t>AVB — AvalonBay Communities (Q2 2026 Earnings Release, July 23, 2026)</w:t>
      </w:r>
    </w:p>
    <w:p>
      <w:r>
        <w:rPr>
          <w:rFonts w:ascii="Calibri" w:hAnsi="Calibri"/>
          <w:b/>
          <w:color w:val="525866"/>
          <w:sz w:val="22"/>
        </w:rPr>
        <w:t xml:space="preserve">Relevance to CPT: </w:t>
      </w:r>
      <w:r>
        <w:rPr>
          <w:rFonts w:ascii="Calibri" w:hAnsi="Calibri"/>
          <w:color w:val="525866"/>
          <w:sz w:val="22"/>
        </w:rPr>
        <w:t>AVB has meaningful Sunbelt exposure (Dallas, Austin, Southeast Florida, Denver) alongside its core coastal markets. Note: AVB and EQR announced a merger of equals on May 21, 2026, which has suspended their EPS/FFO guidance.</w:t>
      </w:r>
    </w:p>
    <w:p>
      <w:pPr>
        <w:pStyle w:val="ListBullet"/>
        <w:ind w:left="360" w:hanging="360"/>
      </w:pPr>
      <w:r>
        <w:rPr>
          <w:rFonts w:ascii="Calibri" w:hAnsi="Calibri"/>
          <w:b/>
          <w:color w:val="525866"/>
          <w:sz w:val="22"/>
        </w:rPr>
        <w:t>SS NOI guidance raised:</w:t>
      </w:r>
      <w:r>
        <w:rPr>
          <w:rFonts w:ascii="Calibri" w:hAnsi="Calibri"/>
          <w:color w:val="525866"/>
          <w:sz w:val="22"/>
        </w:rPr>
        <w:t xml:space="preserve"> AVB raised FY 2026 SS NOI growth midpoint to 0%–1.4% (from -0.7%–1.3%), with SS revenue growth midpoint raised to 1.1%–2.1% (from 0.4%–2.4%). </w:t>
      </w:r>
      <w:r>
        <w:rPr>
          <w:rFonts w:ascii="Calibri" w:hAnsi="Calibri"/>
          <w:b/>
          <w:color w:val="525866"/>
          <w:sz w:val="22"/>
        </w:rPr>
        <w:t>CPT read-through:</w:t>
      </w:r>
      <w:r>
        <w:rPr>
          <w:rFonts w:ascii="Calibri" w:hAnsi="Calibri"/>
          <w:color w:val="525866"/>
          <w:sz w:val="22"/>
        </w:rPr>
        <w:t xml:space="preserve"> Positive — AVB's Sunbelt expansion markets (Dallas, Austin, Southeast Florida) are contributing to the improvement, which overlaps with CPT's green-shoot markets.</w:t>
      </w:r>
    </w:p>
    <w:p>
      <w:pPr>
        <w:pStyle w:val="ListBullet"/>
        <w:ind w:left="360" w:hanging="360"/>
      </w:pPr>
      <w:r>
        <w:rPr>
          <w:rFonts w:ascii="Calibri" w:hAnsi="Calibri"/>
          <w:b/>
          <w:color w:val="525866"/>
          <w:sz w:val="22"/>
        </w:rPr>
        <w:t>Demand and supply dynamics favorable:</w:t>
      </w:r>
      <w:r>
        <w:rPr>
          <w:rFonts w:ascii="Calibri" w:hAnsi="Calibri"/>
          <w:color w:val="525866"/>
          <w:sz w:val="22"/>
        </w:rPr>
        <w:t xml:space="preserve"> COO Sean Breslin: 'A healthier demand environment, easing new supply, and disciplined execution by our teams delivered strong rent growth and lower operating expenses in the first half of the year.' </w:t>
      </w:r>
      <w:r>
        <w:rPr>
          <w:rFonts w:ascii="Calibri" w:hAnsi="Calibri"/>
          <w:b/>
          <w:color w:val="525866"/>
          <w:sz w:val="22"/>
        </w:rPr>
        <w:t>CPT read-through:</w:t>
      </w:r>
      <w:r>
        <w:rPr>
          <w:rFonts w:ascii="Calibri" w:hAnsi="Calibri"/>
          <w:color w:val="525866"/>
          <w:sz w:val="22"/>
        </w:rPr>
        <w:t xml:space="preserve"> Positive — the 'easing new supply' narrative is the core of CPT's H2 recovery thesis.</w:t>
      </w:r>
    </w:p>
    <w:p>
      <w:pPr>
        <w:pStyle w:val="ListBullet"/>
        <w:ind w:left="360" w:hanging="360"/>
      </w:pPr>
      <w:r>
        <w:rPr>
          <w:rFonts w:ascii="Calibri" w:hAnsi="Calibri"/>
          <w:b/>
          <w:color w:val="525866"/>
          <w:sz w:val="22"/>
        </w:rPr>
        <w:t>AVB/EQR merger context:</w:t>
      </w:r>
      <w:r>
        <w:rPr>
          <w:rFonts w:ascii="Calibri" w:hAnsi="Calibri"/>
          <w:color w:val="525866"/>
          <w:sz w:val="22"/>
        </w:rPr>
        <w:t xml:space="preserve"> The pending merger (special meetings August 12, 2026) creates a combined entity with ~180,000 apartments and ~$71B enterprise value. </w:t>
      </w:r>
      <w:r>
        <w:rPr>
          <w:rFonts w:ascii="Calibri" w:hAnsi="Calibri"/>
          <w:b/>
          <w:color w:val="525866"/>
          <w:sz w:val="22"/>
        </w:rPr>
        <w:t>CPT read-through:</w:t>
      </w:r>
      <w:r>
        <w:rPr>
          <w:rFonts w:ascii="Calibri" w:hAnsi="Calibri"/>
          <w:color w:val="525866"/>
          <w:sz w:val="22"/>
        </w:rPr>
        <w:t xml:space="preserve"> Potential industry consolidation catalyst; CPT management has previously noted scale and data advantages as competitive moats.</w:t>
      </w:r>
    </w:p>
    <w:p>
      <w:pPr>
        <w:pStyle w:val="Heading3"/>
      </w:pPr>
      <w:r>
        <w:rPr>
          <w:rFonts w:ascii="Calibri" w:hAnsi="Calibri"/>
          <w:b/>
          <w:color w:val="3B4259"/>
          <w:sz w:val="24"/>
        </w:rPr>
        <w:t>ESS — Essex Property Trust (Q2 2026 Earnings Release, July 29, 2026) — West Coast Read-Through</w:t>
      </w:r>
    </w:p>
    <w:p>
      <w:r>
        <w:rPr>
          <w:rFonts w:ascii="Calibri" w:hAnsi="Calibri"/>
          <w:b/>
          <w:color w:val="525866"/>
          <w:sz w:val="22"/>
        </w:rPr>
        <w:t xml:space="preserve">Relevance to CPT: </w:t>
      </w:r>
      <w:r>
        <w:rPr>
          <w:rFonts w:ascii="Calibri" w:hAnsi="Calibri"/>
          <w:color w:val="525866"/>
          <w:sz w:val="22"/>
        </w:rPr>
        <w:t>ESS is a West Coast-only operator (California, Seattle) with no Sunbelt exposure. Limited direct read-through for CPT's Sunbelt portfolio, but relevant for the California assets CPT is selling.</w:t>
      </w:r>
    </w:p>
    <w:p>
      <w:pPr>
        <w:pStyle w:val="ListBullet"/>
        <w:ind w:left="360" w:hanging="360"/>
      </w:pPr>
      <w:r>
        <w:rPr>
          <w:rFonts w:ascii="Calibri" w:hAnsi="Calibri"/>
          <w:b/>
          <w:color w:val="525866"/>
          <w:sz w:val="22"/>
        </w:rPr>
        <w:t>Core FFO guidance raised:</w:t>
      </w:r>
      <w:r>
        <w:rPr>
          <w:rFonts w:ascii="Calibri" w:hAnsi="Calibri"/>
          <w:color w:val="525866"/>
          <w:sz w:val="22"/>
        </w:rPr>
        <w:t xml:space="preserve"> ESS raised FY 2026 Core FFO midpoint by $0.20/share to $16.14 (1.3% YoY growth), driven by SS NOI outperformance (+$0.12), share repurchases (+$0.05), and other items. </w:t>
      </w:r>
      <w:r>
        <w:rPr>
          <w:rFonts w:ascii="Calibri" w:hAnsi="Calibri"/>
          <w:b/>
          <w:color w:val="525866"/>
          <w:sz w:val="22"/>
        </w:rPr>
        <w:t>CPT read-through:</w:t>
      </w:r>
      <w:r>
        <w:rPr>
          <w:rFonts w:ascii="Calibri" w:hAnsi="Calibri"/>
          <w:color w:val="525866"/>
          <w:sz w:val="22"/>
        </w:rPr>
        <w:t xml:space="preserve"> Positive for CPT's California portfolio valuation — if California multifamily fundamentals are improving (ESS SS revenue guidance raised to 2.5%–3.1%), the California assets CPT is selling may be attractively priced.</w:t>
      </w:r>
    </w:p>
    <w:p>
      <w:pPr>
        <w:pStyle w:val="ListBullet"/>
        <w:ind w:left="360" w:hanging="360"/>
      </w:pPr>
      <w:r>
        <w:rPr>
          <w:rFonts w:ascii="Calibri" w:hAnsi="Calibri"/>
          <w:b/>
          <w:color w:val="525866"/>
          <w:sz w:val="22"/>
        </w:rPr>
        <w:t>SS revenue guidance raised to 2.5%–3.1%:</w:t>
      </w:r>
      <w:r>
        <w:rPr>
          <w:rFonts w:ascii="Calibri" w:hAnsi="Calibri"/>
          <w:color w:val="525866"/>
          <w:sz w:val="22"/>
        </w:rPr>
        <w:t xml:space="preserve"> ESS raised its FY 2026 SS revenue growth midpoint by 40 bps to 2.8%, with SS NOI growth midpoint raised by 70 bps to 2.8%. </w:t>
      </w:r>
      <w:r>
        <w:rPr>
          <w:rFonts w:ascii="Calibri" w:hAnsi="Calibri"/>
          <w:b/>
          <w:color w:val="525866"/>
          <w:sz w:val="22"/>
        </w:rPr>
        <w:t>CPT read-through:</w:t>
      </w:r>
      <w:r>
        <w:rPr>
          <w:rFonts w:ascii="Calibri" w:hAnsi="Calibri"/>
          <w:color w:val="525866"/>
          <w:sz w:val="22"/>
        </w:rPr>
        <w:t xml:space="preserve"> Positive for California portfolio sale valuation; improving California fundamentals support the buyer's underwriting.</w:t>
      </w:r>
    </w:p>
    <w:p>
      <w:pPr>
        <w:pStyle w:val="ListBullet"/>
        <w:ind w:left="360" w:hanging="360"/>
      </w:pPr>
      <w:r>
        <w:rPr>
          <w:rFonts w:ascii="Calibri" w:hAnsi="Calibri"/>
          <w:b/>
          <w:color w:val="525866"/>
          <w:sz w:val="22"/>
        </w:rPr>
        <w:t>2026 California supply very limited:</w:t>
      </w:r>
      <w:r>
        <w:rPr>
          <w:rFonts w:ascii="Calibri" w:hAnsi="Calibri"/>
          <w:color w:val="525866"/>
          <w:sz w:val="22"/>
        </w:rPr>
        <w:t xml:space="preserve"> ESS's supply forecast shows total 2026 multifamily supply in Southern California of 14,300 units (0.4% of stock) and Northern California of 2,400 units (0.3% of stock) — among the most supply-constrained markets in the country. </w:t>
      </w:r>
      <w:r>
        <w:rPr>
          <w:rFonts w:ascii="Calibri" w:hAnsi="Calibri"/>
          <w:b/>
          <w:color w:val="525866"/>
          <w:sz w:val="22"/>
        </w:rPr>
        <w:t>CPT read-through:</w:t>
      </w:r>
      <w:r>
        <w:rPr>
          <w:rFonts w:ascii="Calibri" w:hAnsi="Calibri"/>
          <w:color w:val="525866"/>
          <w:sz w:val="22"/>
        </w:rPr>
        <w:t xml:space="preserve"> Supports the thesis that CPT's California assets are being sold into a favorable fundamental environment, potentially at attractive cap rates.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Report Date</w:t>
            </w:r>
          </w:p>
        </w:tc>
        <w:tc>
          <w:tcPr>
            <w:tcW w:type="dxa" w:w="1440"/>
            <w:shd w:val="clear" w:color="auto" w:fill="3B4259"/>
          </w:tcPr>
          <w:p>
            <w:r>
              <w:rPr>
                <w:rFonts w:ascii="Calibri" w:hAnsi="Calibri"/>
                <w:b/>
                <w:color w:val="FFFFFF"/>
                <w:sz w:val="22"/>
              </w:rPr>
              <w:t>FY 2026 SS Revenue Guidance</w:t>
            </w:r>
          </w:p>
        </w:tc>
        <w:tc>
          <w:tcPr>
            <w:tcW w:type="dxa" w:w="1440"/>
            <w:shd w:val="clear" w:color="auto" w:fill="3B4259"/>
          </w:tcPr>
          <w:p>
            <w:r>
              <w:rPr>
                <w:rFonts w:ascii="Calibri" w:hAnsi="Calibri"/>
                <w:b/>
                <w:color w:val="FFFFFF"/>
                <w:sz w:val="22"/>
              </w:rPr>
              <w:t>FY 2026 SS NOI Guidance</w:t>
            </w:r>
          </w:p>
        </w:tc>
        <w:tc>
          <w:tcPr>
            <w:tcW w:type="dxa" w:w="1440"/>
            <w:shd w:val="clear" w:color="auto" w:fill="3B4259"/>
          </w:tcPr>
          <w:p>
            <w:r>
              <w:rPr>
                <w:rFonts w:ascii="Calibri" w:hAnsi="Calibri"/>
                <w:b/>
                <w:color w:val="FFFFFF"/>
                <w:sz w:val="22"/>
              </w:rPr>
              <w:t>Guidance Direction</w:t>
            </w:r>
          </w:p>
        </w:tc>
        <w:tc>
          <w:tcPr>
            <w:tcW w:type="dxa" w:w="1440"/>
            <w:shd w:val="clear" w:color="auto" w:fill="3B4259"/>
          </w:tcPr>
          <w:p>
            <w:r>
              <w:rPr>
                <w:rFonts w:ascii="Calibri" w:hAnsi="Calibri"/>
                <w:b/>
                <w:color w:val="FFFFFF"/>
                <w:sz w:val="22"/>
              </w:rPr>
              <w:t>Key CPT Read-Through</w:t>
            </w:r>
          </w:p>
        </w:tc>
      </w:tr>
      <w:tr>
        <w:tc>
          <w:tcPr>
            <w:tcW w:type="dxa" w:w="1440"/>
          </w:tcPr>
          <w:p>
            <w:r>
              <w:rPr>
                <w:rFonts w:ascii="Calibri" w:hAnsi="Calibri"/>
                <w:sz w:val="22"/>
              </w:rPr>
              <w:t>UDR</w:t>
            </w:r>
          </w:p>
        </w:tc>
        <w:tc>
          <w:tcPr>
            <w:tcW w:type="dxa" w:w="1440"/>
          </w:tcPr>
          <w:p>
            <w:r>
              <w:rPr>
                <w:rFonts w:ascii="Calibri" w:hAnsi="Calibri"/>
                <w:sz w:val="22"/>
              </w:rPr>
              <w:t>Jul 28, 2026</w:t>
            </w:r>
          </w:p>
        </w:tc>
        <w:tc>
          <w:tcPr>
            <w:tcW w:type="dxa" w:w="1440"/>
          </w:tcPr>
          <w:p>
            <w:r>
              <w:rPr>
                <w:rFonts w:ascii="Calibri" w:hAnsi="Calibri"/>
                <w:sz w:val="22"/>
              </w:rPr>
              <w:t>+0.75% to +2.0% (mid: +1.375%)</w:t>
            </w:r>
          </w:p>
        </w:tc>
        <w:tc>
          <w:tcPr>
            <w:tcW w:type="dxa" w:w="1440"/>
          </w:tcPr>
          <w:p>
            <w:r>
              <w:rPr>
                <w:rFonts w:ascii="Calibri" w:hAnsi="Calibri"/>
                <w:sz w:val="22"/>
              </w:rPr>
              <w:t>Raised +50 bps</w:t>
            </w:r>
          </w:p>
        </w:tc>
        <w:tc>
          <w:tcPr>
            <w:tcW w:type="dxa" w:w="1440"/>
          </w:tcPr>
          <w:p>
            <w:r>
              <w:rPr>
                <w:rFonts w:ascii="Calibri" w:hAnsi="Calibri"/>
                <w:b/>
                <w:color w:val="30A46C"/>
                <w:sz w:val="22"/>
              </w:rPr>
              <w:t>↑ Raised</w:t>
            </w:r>
          </w:p>
        </w:tc>
        <w:tc>
          <w:tcPr>
            <w:tcW w:type="dxa" w:w="1440"/>
          </w:tcPr>
          <w:p>
            <w:r>
              <w:rPr>
                <w:rFonts w:ascii="Calibri" w:hAnsi="Calibri"/>
                <w:sz w:val="22"/>
              </w:rPr>
              <w:t>Sunbelt blended rates improving; new lease still negative but trending better</w:t>
            </w:r>
          </w:p>
        </w:tc>
      </w:tr>
      <w:tr>
        <w:tc>
          <w:tcPr>
            <w:tcW w:type="dxa" w:w="1440"/>
          </w:tcPr>
          <w:p>
            <w:r>
              <w:rPr>
                <w:rFonts w:ascii="Calibri" w:hAnsi="Calibri"/>
                <w:sz w:val="22"/>
              </w:rPr>
              <w:t>MAA</w:t>
            </w:r>
          </w:p>
        </w:tc>
        <w:tc>
          <w:tcPr>
            <w:tcW w:type="dxa" w:w="1440"/>
          </w:tcPr>
          <w:p>
            <w:r>
              <w:rPr>
                <w:rFonts w:ascii="Calibri" w:hAnsi="Calibri"/>
                <w:sz w:val="22"/>
              </w:rPr>
              <w:t>Jul 29, 2026</w:t>
            </w:r>
          </w:p>
        </w:tc>
        <w:tc>
          <w:tcPr>
            <w:tcW w:type="dxa" w:w="1440"/>
          </w:tcPr>
          <w:p>
            <w:r>
              <w:rPr>
                <w:rFonts w:ascii="Calibri" w:hAnsi="Calibri"/>
                <w:sz w:val="22"/>
              </w:rPr>
              <w:t>-0.20% to +0.40% (mid: +0.10%)</w:t>
            </w:r>
          </w:p>
        </w:tc>
        <w:tc>
          <w:tcPr>
            <w:tcW w:type="dxa" w:w="1440"/>
          </w:tcPr>
          <w:p>
            <w:r>
              <w:rPr>
                <w:rFonts w:ascii="Calibri" w:hAnsi="Calibri"/>
                <w:sz w:val="22"/>
              </w:rPr>
              <w:t>-1.70% to +0.10% (mid: -0.80%)</w:t>
            </w:r>
          </w:p>
        </w:tc>
        <w:tc>
          <w:tcPr>
            <w:tcW w:type="dxa" w:w="1440"/>
          </w:tcPr>
          <w:p>
            <w:r>
              <w:rPr>
                <w:rFonts w:ascii="Calibri" w:hAnsi="Calibri"/>
                <w:b/>
                <w:color w:val="E5484D"/>
                <w:sz w:val="22"/>
              </w:rPr>
              <w:t>↓ Lowered</w:t>
            </w:r>
          </w:p>
        </w:tc>
        <w:tc>
          <w:tcPr>
            <w:tcW w:type="dxa" w:w="1440"/>
          </w:tcPr>
          <w:p>
            <w:r>
              <w:rPr>
                <w:rFonts w:ascii="Calibri" w:hAnsi="Calibri"/>
                <w:sz w:val="22"/>
              </w:rPr>
              <w:t>Closest Sunbelt comp; SS revenue guide-down is a mild negative for CPT's +0.75% FY guidance</w:t>
            </w:r>
          </w:p>
        </w:tc>
      </w:tr>
      <w:tr>
        <w:tc>
          <w:tcPr>
            <w:tcW w:type="dxa" w:w="1440"/>
          </w:tcPr>
          <w:p>
            <w:r>
              <w:rPr>
                <w:rFonts w:ascii="Calibri" w:hAnsi="Calibri"/>
                <w:sz w:val="22"/>
              </w:rPr>
              <w:t>EQR</w:t>
            </w:r>
          </w:p>
        </w:tc>
        <w:tc>
          <w:tcPr>
            <w:tcW w:type="dxa" w:w="1440"/>
          </w:tcPr>
          <w:p>
            <w:r>
              <w:rPr>
                <w:rFonts w:ascii="Calibri" w:hAnsi="Calibri"/>
                <w:sz w:val="22"/>
              </w:rPr>
              <w:t>Jul 22, 2026</w:t>
            </w:r>
          </w:p>
        </w:tc>
        <w:tc>
          <w:tcPr>
            <w:tcW w:type="dxa" w:w="1440"/>
          </w:tcPr>
          <w:p>
            <w:r>
              <w:rPr>
                <w:rFonts w:ascii="Calibri" w:hAnsi="Calibri"/>
                <w:sz w:val="22"/>
              </w:rPr>
              <w:t>+2.1% to +2.7% (mid: +2.4%)</w:t>
            </w:r>
          </w:p>
        </w:tc>
        <w:tc>
          <w:tcPr>
            <w:tcW w:type="dxa" w:w="1440"/>
          </w:tcPr>
          <w:p>
            <w:r>
              <w:rPr>
                <w:rFonts w:ascii="Calibri" w:hAnsi="Calibri"/>
                <w:sz w:val="22"/>
              </w:rPr>
              <w:t>+1.5% to +2.1% (mid: +1.8%)</w:t>
            </w:r>
          </w:p>
        </w:tc>
        <w:tc>
          <w:tcPr>
            <w:tcW w:type="dxa" w:w="1440"/>
          </w:tcPr>
          <w:p>
            <w:r>
              <w:rPr>
                <w:rFonts w:ascii="Calibri" w:hAnsi="Calibri"/>
                <w:b/>
                <w:color w:val="30A46C"/>
                <w:sz w:val="22"/>
              </w:rPr>
              <w:t>↑ Raised</w:t>
            </w:r>
          </w:p>
        </w:tc>
        <w:tc>
          <w:tcPr>
            <w:tcW w:type="dxa" w:w="1440"/>
          </w:tcPr>
          <w:p>
            <w:r>
              <w:rPr>
                <w:rFonts w:ascii="Calibri" w:hAnsi="Calibri"/>
                <w:sz w:val="22"/>
              </w:rPr>
              <w:t>Coastal-heavy; bad debt improvement sector-wide is positive; July occupancy 96.2%</w:t>
            </w:r>
          </w:p>
        </w:tc>
      </w:tr>
      <w:tr>
        <w:tc>
          <w:tcPr>
            <w:tcW w:type="dxa" w:w="1440"/>
          </w:tcPr>
          <w:p>
            <w:r>
              <w:rPr>
                <w:rFonts w:ascii="Calibri" w:hAnsi="Calibri"/>
                <w:sz w:val="22"/>
              </w:rPr>
              <w:t>AVB</w:t>
            </w:r>
          </w:p>
        </w:tc>
        <w:tc>
          <w:tcPr>
            <w:tcW w:type="dxa" w:w="1440"/>
          </w:tcPr>
          <w:p>
            <w:r>
              <w:rPr>
                <w:rFonts w:ascii="Calibri" w:hAnsi="Calibri"/>
                <w:sz w:val="22"/>
              </w:rPr>
              <w:t>Jul 23, 2026</w:t>
            </w:r>
          </w:p>
        </w:tc>
        <w:tc>
          <w:tcPr>
            <w:tcW w:type="dxa" w:w="1440"/>
          </w:tcPr>
          <w:p>
            <w:r>
              <w:rPr>
                <w:rFonts w:ascii="Calibri" w:hAnsi="Calibri"/>
                <w:sz w:val="22"/>
              </w:rPr>
              <w:t>+1.1% to +2.1% (mid: +1.6%)</w:t>
            </w:r>
          </w:p>
        </w:tc>
        <w:tc>
          <w:tcPr>
            <w:tcW w:type="dxa" w:w="1440"/>
          </w:tcPr>
          <w:p>
            <w:r>
              <w:rPr>
                <w:rFonts w:ascii="Calibri" w:hAnsi="Calibri"/>
                <w:sz w:val="22"/>
              </w:rPr>
              <w:t>0% to +1.4% (mid: +0.7%)</w:t>
            </w:r>
          </w:p>
        </w:tc>
        <w:tc>
          <w:tcPr>
            <w:tcW w:type="dxa" w:w="1440"/>
          </w:tcPr>
          <w:p>
            <w:r>
              <w:rPr>
                <w:rFonts w:ascii="Calibri" w:hAnsi="Calibri"/>
                <w:b/>
                <w:color w:val="30A46C"/>
                <w:sz w:val="22"/>
              </w:rPr>
              <w:t>↑ Raised</w:t>
            </w:r>
          </w:p>
        </w:tc>
        <w:tc>
          <w:tcPr>
            <w:tcW w:type="dxa" w:w="1440"/>
          </w:tcPr>
          <w:p>
            <w:r>
              <w:rPr>
                <w:rFonts w:ascii="Calibri" w:hAnsi="Calibri"/>
                <w:sz w:val="22"/>
              </w:rPr>
              <w:t>Sunbelt expansion markets (Dallas, Austin, SE Florida) contributing; easing supply narrative confirmed</w:t>
            </w:r>
          </w:p>
        </w:tc>
      </w:tr>
      <w:tr>
        <w:tc>
          <w:tcPr>
            <w:tcW w:type="dxa" w:w="1440"/>
          </w:tcPr>
          <w:p>
            <w:r>
              <w:rPr>
                <w:rFonts w:ascii="Calibri" w:hAnsi="Calibri"/>
                <w:sz w:val="22"/>
              </w:rPr>
              <w:t>ESS</w:t>
            </w:r>
          </w:p>
        </w:tc>
        <w:tc>
          <w:tcPr>
            <w:tcW w:type="dxa" w:w="1440"/>
          </w:tcPr>
          <w:p>
            <w:r>
              <w:rPr>
                <w:rFonts w:ascii="Calibri" w:hAnsi="Calibri"/>
                <w:sz w:val="22"/>
              </w:rPr>
              <w:t>Jul 29, 2026</w:t>
            </w:r>
          </w:p>
        </w:tc>
        <w:tc>
          <w:tcPr>
            <w:tcW w:type="dxa" w:w="1440"/>
          </w:tcPr>
          <w:p>
            <w:r>
              <w:rPr>
                <w:rFonts w:ascii="Calibri" w:hAnsi="Calibri"/>
                <w:sz w:val="22"/>
              </w:rPr>
              <w:t>+2.5% to +3.1% (mid: +2.8%)</w:t>
            </w:r>
          </w:p>
        </w:tc>
        <w:tc>
          <w:tcPr>
            <w:tcW w:type="dxa" w:w="1440"/>
          </w:tcPr>
          <w:p>
            <w:r>
              <w:rPr>
                <w:rFonts w:ascii="Calibri" w:hAnsi="Calibri"/>
                <w:sz w:val="22"/>
              </w:rPr>
              <w:t>+2.3% to +3.3% (mid: +2.8%)</w:t>
            </w:r>
          </w:p>
        </w:tc>
        <w:tc>
          <w:tcPr>
            <w:tcW w:type="dxa" w:w="1440"/>
          </w:tcPr>
          <w:p>
            <w:r>
              <w:rPr>
                <w:rFonts w:ascii="Calibri" w:hAnsi="Calibri"/>
                <w:b/>
                <w:color w:val="30A46C"/>
                <w:sz w:val="22"/>
              </w:rPr>
              <w:t>↑ Raised</w:t>
            </w:r>
          </w:p>
        </w:tc>
        <w:tc>
          <w:tcPr>
            <w:tcW w:type="dxa" w:w="1440"/>
          </w:tcPr>
          <w:p>
            <w:r>
              <w:rPr>
                <w:rFonts w:ascii="Calibri" w:hAnsi="Calibri"/>
                <w:sz w:val="22"/>
              </w:rPr>
              <w:t>California fundamentals improving; positive for CPT's CA portfolio sale valuation</w:t>
            </w:r>
          </w:p>
        </w:tc>
      </w:tr>
    </w:tbl>
    <w:p>
      <w:r>
        <w:rPr>
          <w:rFonts w:ascii="Calibri" w:hAnsi="Calibri"/>
          <w:i/>
          <w:color w:val="525866"/>
          <w:sz w:val="22"/>
        </w:rPr>
        <w:t>Sources: UDR Q2 2026 Earnings Call Transcript (July 28, 2026); MAA Q2 2026 Earnings Release (July 29, 2026); EQR Q2 2026 Earnings Release (July 22, 2026); AVB Q2 2026 Earnings Release (July 23, 2026); ESS Q2 2026 Earnings Release (July 29, 2026).</w:t>
      </w:r>
    </w:p>
    <w:p>
      <w:r>
        <w:rPr>
          <w:rFonts w:ascii="Calibri" w:hAnsi="Calibri"/>
          <w:b/>
          <w:color w:val="525866"/>
          <w:sz w:val="22"/>
        </w:rPr>
        <w:t>Overall Peer Read-Through Assessment:</w:t>
      </w:r>
      <w:r>
        <w:rPr>
          <w:rFonts w:ascii="Calibri" w:hAnsi="Calibri"/>
          <w:color w:val="525866"/>
          <w:sz w:val="22"/>
        </w:rPr>
        <w:t xml:space="preserve"> The sector-wide message is that the supply absorption thesis is playing out, but more gradually than initially hoped — particularly in Sunbelt markets where new lease rates remain negative. The 4-out-of-5 peers raising guidance is a net positive backdrop for CPT's Q2 print, but MAA's SS revenue guide-down is the most relevant cautionary data point given its Sunbelt overlap. The key question for CPT's Q2 call is whether blended lease rates improved enough through the peak leasing season (May–July) to keep the +0.75% FY SS revenue guidance midpoint intact, or whether CPT follows MAA in trimming the revenue outlook while maintaining FFO guidance through expense discipline.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