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rh-earnings-predictions--2026-07-30"/>
    <w:p>
      <w:pPr>
        <w:pStyle w:val="Heading1"/>
      </w:pPr>
      <w:r>
        <w:t xml:space="preserve">CRH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2.80</m:t>
              </m:r>
              <m:r>
                <m:t>b</m:t>
              </m:r>
              <m:r>
                <m:t>n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2.70bn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11.0</m:t>
              </m:r>
              <m:r>
                <m:t>b</m:t>
              </m:r>
              <m:r>
                <m:t>n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10.72bn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1.98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1.96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 guide (raise vs reaffirm)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~$8.4bn midpoint (range lifted toward</w:t>
            </w:r>
            <w:r>
              <w:t xml:space="preserve"> </w:t>
            </w:r>
            <m:oMath>
              <m:r>
                <m:t>8.3</m:t>
              </m:r>
              <m:r>
                <m:rPr>
                  <m:sty m:val="p"/>
                </m:rPr>
                <m:t>−</m:t>
              </m:r>
              <m:r>
                <m:t>8.6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8.35bn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Diluted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5.60</m:t>
              </m:r>
              <m:r>
                <m:rPr>
                  <m:sty m:val="p"/>
                </m:rPr>
                <m:t>−</m:t>
              </m:r>
              <m:r>
                <m:t>6.05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5.83) vs. cons ~$5.93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Net income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3.9</m:t>
              </m:r>
              <m:r>
                <m:rPr>
                  <m:sty m:val="p"/>
                </m:rPr>
                <m:t>−</m:t>
              </m:r>
              <m:r>
                <m:t>4.1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4.0bn) vs. cons ~$4.0bn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Pro-forma net leverage post-Arcosa / IG rating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~2.4x net debt/EBITDA peak vs. ~2.0x current (FY2026-27, BBB+ target)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(STABILIZE)</w:t>
            </w:r>
          </w:p>
        </w:tc>
        <w:tc>
          <w:tcPr/>
          <w:p>
            <w:pPr>
              <w:pStyle w:val="Compact"/>
            </w:pPr>
            <w:r>
              <w:t xml:space="preserve">Oversold, de-risked setup (stock -21% YTD, -11% past month, lagging VMC/MLM) plus a Q2 EBITDA/revenue beat and a modest FY26 EBITDA raise should spark a relief pop on day 1. But out-period math caps follow-through: rising Arcosa-related interest expense, higher D&amp;A from growth capex/M&amp;A, energy-cost inflation and only a token EPS-guide lift limit upward FY26/27 EPS revisions even after a top-line beat. Net effect is a hold-not-extend path — cheap valuation and infrastructure tailwinds support the gain, while leverage/dilution overhang prevents a larger squeeze.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2026-07-29T17:54:52Z</dcterms:created>
  <dcterms:modified xsi:type="dcterms:W3CDTF">2026-07-29T17:54:52Z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