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CRH before writing the preview. Let me gather recent earnings, guidance, news, and stock performance.Let me read the most recent earnings materials and look into the Arcosa merger news.Let me get the Arcosa merger details, recent news, and stock price performance.Let me read the Arcosa deal details.Let me get the year-ago Q2 2025 numbers for comparison framing.I have what I need. Here's the preview.</w:t>
      </w:r>
    </w:p>
    <w:p>
      <w:r>
        <w:pict>
          <v:rect style="width:0;height:1.5pt" o:hralign="center" o:hrstd="t" o:hr="t"/>
        </w:pict>
      </w:r>
    </w:p>
    <w:bookmarkStart w:id="17" w:name="X916dbf73d5f4172d901bb2211aeb5fbf9017914"/>
    <w:p>
      <w:pPr>
        <w:pStyle w:val="Heading1"/>
      </w:pPr>
      <w:r>
        <w:t xml:space="preserve">CRH plc (NYSE: CRH) — Q2 2026 Earnings Preview</w:t>
      </w:r>
    </w:p>
    <w:bookmarkStart w:id="9" w:name="X0980d8d2d72c117397be78a93f4d33ade1be3f9"/>
    <w:p>
      <w:pPr>
        <w:pStyle w:val="Heading3"/>
      </w:pPr>
      <w:r>
        <w:t xml:space="preserve">Report date: Thursday, July 30, 2026 (before market open) | 2026Q2 Earnings Call</w:t>
      </w:r>
    </w:p>
    <w:bookmarkEnd w:id="9"/>
    <w:bookmarkStart w:id="10" w:name="the-one-line-setup"/>
    <w:p>
      <w:pPr>
        <w:pStyle w:val="Heading2"/>
      </w:pPr>
      <w:r>
        <w:t xml:space="preserve">The one-line setup</w:t>
      </w:r>
    </w:p>
    <w:p>
      <w:pPr>
        <w:pStyle w:val="FirstParagraph"/>
      </w:pPr>
      <w:r>
        <w:t xml:space="preserve">CRH heads into its most important seasonal quarter carrying strong Q1 momentum and a reaffirmed full-year guide — but the stock has badly lagged its aggregates peers, an $8.5bn all-cash Arcosa deal has reshaped the balance-sheet/capital-allocation narrative, and a mid-year energy spike raises the stakes on the pricing-vs-cost debate. The key question tomorrow:</w:t>
      </w:r>
      <w:r>
        <w:t xml:space="preserve"> </w:t>
      </w:r>
      <w:r>
        <w:rPr>
          <w:b/>
          <w:bCs/>
        </w:rPr>
        <w:t xml:space="preserve">does management raise 2026 guidance (as it did at Q2 last year), and how does it frame Arcosa financing and integration?</w:t>
      </w:r>
    </w:p>
    <w:p>
      <w:r>
        <w:pict>
          <v:rect style="width:0;height:1.5pt" o:hralign="center" o:hrstd="t" o:hr="t"/>
        </w:pict>
      </w:r>
    </w:p>
    <w:bookmarkEnd w:id="10"/>
    <w:bookmarkStart w:id="11" w:name="Xaf2ee232df269acaf7b67003fa0d16fe8b35c1f"/>
    <w:p>
      <w:pPr>
        <w:pStyle w:val="Heading2"/>
      </w:pPr>
      <w:r>
        <w:t xml:space="preserve">1. What actually matters this quarter</w:t>
      </w:r>
    </w:p>
    <w:p>
      <w:pPr>
        <w:pStyle w:val="FirstParagraph"/>
      </w:pPr>
      <w:r>
        <w:rPr>
          <w:b/>
          <w:bCs/>
        </w:rPr>
        <w:t xml:space="preserve">a) Guidance: raise, reaffirm, or trim?</w:t>
      </w:r>
    </w:p>
    <w:p>
      <w:pPr>
        <w:pStyle w:val="Compact"/>
        <w:numPr>
          <w:ilvl w:val="0"/>
          <w:numId w:val="1001"/>
        </w:numPr>
      </w:pPr>
      <w:r>
        <w:t xml:space="preserve">At Q1, CRH reaffirmed FY26 guidance of **Adjusted EBITDA of $8.1–8.5bn, net income of $3.9–4.1bn, diluted EPS of $5.60–6.05, and capex of</w:t>
      </w:r>
      <w:r>
        <w:t xml:space="preserve"> </w:t>
      </w:r>
      <m:oMath>
        <m:r>
          <m:t>2.8</m:t>
        </m:r>
        <m:r>
          <m:rPr>
            <m:sty m:val="p"/>
          </m:rPr>
          <m:t>–</m:t>
        </m:r>
        <m:r>
          <m:t>3.0</m:t>
        </m:r>
        <m:r>
          <m:t>b</m:t>
        </m:r>
        <m:r>
          <m:t>n</m:t>
        </m:r>
        <m:r>
          <m:rPr>
            <m:sty m:val="p"/>
          </m:rPr>
          <m:t>*</m:t>
        </m:r>
        <m:r>
          <m:rPr>
            <m:sty m:val="p"/>
          </m:rPr>
          <m:t>*</m:t>
        </m:r>
        <m:r>
          <m:rPr>
            <m:sty m:val="p"/>
          </m:rPr>
          <m:t>(</m:t>
        </m:r>
        <m:r>
          <m:t>m</m:t>
        </m:r>
        <m:r>
          <m:t>i</m:t>
        </m:r>
        <m:r>
          <m:t>d</m:t>
        </m:r>
        <m:r>
          <m:rPr>
            <m:sty m:val="p"/>
          </m:rPr>
          <m:t>−</m:t>
        </m:r>
        <m:r>
          <m:t>p</m:t>
        </m:r>
        <m:r>
          <m:t>o</m:t>
        </m:r>
        <m:r>
          <m:t>i</m:t>
        </m:r>
        <m:r>
          <m:t>n</m:t>
        </m:r>
        <m:r>
          <m:t>t</m:t>
        </m:r>
        <m:r>
          <m:t>E</m:t>
        </m:r>
        <m:r>
          <m:t>B</m:t>
        </m:r>
        <m:r>
          <m:t>I</m:t>
        </m:r>
        <m:r>
          <m:t>T</m:t>
        </m:r>
        <m:r>
          <m:t>D</m:t>
        </m:r>
        <m:r>
          <m:t>A</m:t>
        </m:r>
        <m:r>
          <m:t> </m:t>
        </m:r>
      </m:oMath>
      <w:r>
        <w:t xml:space="preserve">8.3bn).</w:t>
      </w:r>
    </w:p>
    <w:p>
      <w:pPr>
        <w:pStyle w:val="Compact"/>
        <w:numPr>
          <w:ilvl w:val="0"/>
          <w:numId w:val="1001"/>
        </w:numPr>
      </w:pPr>
      <w:r>
        <w:t xml:space="preserve">History matters: at</w:t>
      </w:r>
      <w:r>
        <w:t xml:space="preserve"> </w:t>
      </w:r>
      <w:r>
        <w:rPr>
          <w:b/>
          <w:bCs/>
        </w:rPr>
        <w:t xml:space="preserve">Q2 2025, management raised</w:t>
      </w:r>
      <w:r>
        <w:t xml:space="preserve"> </w:t>
      </w:r>
      <w:r>
        <w:t xml:space="preserve">the full-year EBITDA range to $7.5–7.7bn on strong first-half demand. With Q1 2026 EBITDA up 18% and management flagging strong backlogs and "record" 2026 transportation investment, the bar is effectively set for a raise. A simple</w:t>
      </w:r>
      <w:r>
        <w:t xml:space="preserve"> </w:t>
      </w:r>
      <w:r>
        <w:rPr>
          <w:i/>
          <w:iCs/>
        </w:rPr>
        <w:t xml:space="preserve">reaffirm</w:t>
      </w:r>
      <w:r>
        <w:t xml:space="preserve"> </w:t>
      </w:r>
      <w:r>
        <w:t xml:space="preserve">could read as disappointing given the setup; any</w:t>
      </w:r>
      <w:r>
        <w:t xml:space="preserve"> </w:t>
      </w:r>
      <w:r>
        <w:rPr>
          <w:i/>
          <w:iCs/>
        </w:rPr>
        <w:t xml:space="preserve">trim</w:t>
      </w:r>
      <w:r>
        <w:t xml:space="preserve"> </w:t>
      </w:r>
      <w:r>
        <w:t xml:space="preserve">(energy) would be a clear negative.</w:t>
      </w:r>
    </w:p>
    <w:p>
      <w:pPr>
        <w:pStyle w:val="Compact"/>
        <w:numPr>
          <w:ilvl w:val="0"/>
          <w:numId w:val="1001"/>
        </w:numPr>
      </w:pPr>
      <w:r>
        <w:t xml:space="preserve">Q2 is the swing quarter — it did</w:t>
      </w:r>
      <w:r>
        <w:t xml:space="preserve"> </w:t>
      </w:r>
      <w:r>
        <w:rPr>
          <w:b/>
          <w:bCs/>
        </w:rPr>
        <w:t xml:space="preserve">~</w:t>
      </w:r>
      <m:oMath>
        <m:r>
          <m:t>2.5</m:t>
        </m:r>
        <m:r>
          <m:t>b</m:t>
        </m:r>
        <m:r>
          <m:t>n</m:t>
        </m:r>
        <m:r>
          <m:t>o</m:t>
        </m:r>
        <m:r>
          <m:t>f</m:t>
        </m:r>
        <m:r>
          <m:t>t</m:t>
        </m:r>
        <m:r>
          <m:t>h</m:t>
        </m:r>
        <m:r>
          <m:t>e</m:t>
        </m:r>
        <m:r>
          <m:t> </m:t>
        </m:r>
      </m:oMath>
      <w:r>
        <w:rPr>
          <w:b/>
          <w:bCs/>
        </w:rPr>
        <w:t xml:space="preserve">7.6bn</w:t>
      </w:r>
      <w:r>
        <w:t xml:space="preserve"> </w:t>
      </w:r>
      <w:r>
        <w:t xml:space="preserve">full-year EBITDA in 2025 — so this print largely determines whether the FY guide moves.</w:t>
      </w:r>
    </w:p>
    <w:p>
      <w:pPr>
        <w:pStyle w:val="FirstParagraph"/>
      </w:pPr>
      <w:r>
        <w:rPr>
          <w:b/>
          <w:bCs/>
        </w:rPr>
        <w:t xml:space="preserve">b) Pricing vs. the energy spike.</w:t>
      </w:r>
      <w:r>
        <w:t xml:space="preserve"> </w:t>
      </w:r>
      <w:r>
        <w:t xml:space="preserve">On the Q1 call, management sized energy at ~5% of revenue, said it hedges ~9 months out, and — critically — said it had already begun</w:t>
      </w:r>
      <w:r>
        <w:t xml:space="preserve"> </w:t>
      </w:r>
      <w:r>
        <w:rPr>
          <w:b/>
          <w:bCs/>
        </w:rPr>
        <w:t xml:space="preserve">targeted mid-year price increases</w:t>
      </w:r>
      <w:r>
        <w:t xml:space="preserve"> </w:t>
      </w:r>
      <w:r>
        <w:t xml:space="preserve">to protect margins. Watch for: (i) confirmation those increases stuck, (ii) whether mid-single-digit cost inflation guidance (labor, raw materials, subcontractors) holds, and (iii) continued</w:t>
      </w:r>
      <w:r>
        <w:t xml:space="preserve"> </w:t>
      </w:r>
      <w:r>
        <w:rPr>
          <w:b/>
          <w:bCs/>
        </w:rPr>
        <w:t xml:space="preserve">margin expansion</w:t>
      </w:r>
      <w:r>
        <w:t xml:space="preserve">, the company's core investment thesis.</w:t>
      </w:r>
    </w:p>
    <w:p>
      <w:pPr>
        <w:pStyle w:val="BodyText"/>
      </w:pPr>
      <w:r>
        <w:rPr>
          <w:b/>
          <w:bCs/>
        </w:rPr>
        <w:t xml:space="preserve">c) Volume &amp; price cadence.</w:t>
      </w:r>
      <w:r>
        <w:t xml:space="preserve"> </w:t>
      </w:r>
      <w:r>
        <w:t xml:space="preserve">Q1 set a strong tone: Americas aggregates volumes +14% (mix-adjusted price +5%), cement +10%. Full-year framework is</w:t>
      </w:r>
      <w:r>
        <w:t xml:space="preserve"> </w:t>
      </w:r>
      <w:r>
        <w:rPr>
          <w:b/>
          <w:bCs/>
        </w:rPr>
        <w:t xml:space="preserve">low-single-digit aggregates volume / mid-single-digit price</w:t>
      </w:r>
      <w:r>
        <w:t xml:space="preserve">, and</w:t>
      </w:r>
      <w:r>
        <w:t xml:space="preserve"> </w:t>
      </w:r>
      <w:r>
        <w:rPr>
          <w:b/>
          <w:bCs/>
        </w:rPr>
        <w:t xml:space="preserve">low-single-digit cement volume and price</w:t>
      </w:r>
      <w:r>
        <w:t xml:space="preserve">. Q2 is the real test of whether early-season strength converts as the paving season peaks. Watch the mix-adjusted aggregates price (management's preferred metric) and any cement-price softness (down 1% in Q1 Americas after three strong years).</w:t>
      </w:r>
    </w:p>
    <w:p>
      <w:pPr>
        <w:pStyle w:val="BodyText"/>
      </w:pPr>
      <w:r>
        <w:rPr>
          <w:b/>
          <w:bCs/>
        </w:rPr>
        <w:t xml:space="preserve">d) End-market split.</w:t>
      </w:r>
      <w:r>
        <w:t xml:space="preserve"> </w:t>
      </w:r>
      <w:r>
        <w:t xml:space="preserve">Infrastructure (IIJA, state DOT budgets +6%, ~50% of IIJA funds still undeployed), reindustrialization (data centers, chip plants), and water remain the growth engines;</w:t>
      </w:r>
      <w:r>
        <w:t xml:space="preserve"> </w:t>
      </w:r>
      <w:r>
        <w:rPr>
          <w:b/>
          <w:bCs/>
        </w:rPr>
        <w:t xml:space="preserve">residential new-build stays subdued</w:t>
      </w:r>
      <w:r>
        <w:t xml:space="preserve"> </w:t>
      </w:r>
      <w:r>
        <w:t xml:space="preserve">while R&amp;R is resilient. Outdoor Living (residential-exposed) was the soft spot in Q1 (−3%). Any read on a residential inflection or continued weakness matters for Americas Building Solutions.</w:t>
      </w:r>
    </w:p>
    <w:p>
      <w:r>
        <w:pict>
          <v:rect style="width:0;height:1.5pt" o:hralign="center" o:hrstd="t" o:hr="t"/>
        </w:pict>
      </w:r>
    </w:p>
    <w:bookmarkEnd w:id="11"/>
    <w:bookmarkStart w:id="12" w:name="X9b738178acd2bc77a85dd51360d3e10686a7c24"/>
    <w:p>
      <w:pPr>
        <w:pStyle w:val="Heading2"/>
      </w:pPr>
      <w:r>
        <w:t xml:space="preserve">2. The big new variable: the Arcosa acquisition</w:t>
      </w:r>
    </w:p>
    <w:p>
      <w:pPr>
        <w:pStyle w:val="Compact"/>
        <w:numPr>
          <w:ilvl w:val="0"/>
          <w:numId w:val="1002"/>
        </w:numPr>
      </w:pPr>
      <w:r>
        <w:t xml:space="preserve">On</w:t>
      </w:r>
      <w:r>
        <w:t xml:space="preserve"> </w:t>
      </w:r>
      <w:r>
        <w:rPr>
          <w:b/>
          <w:bCs/>
        </w:rPr>
        <w:t xml:space="preserve">June 22, 2026</w:t>
      </w:r>
      <w:r>
        <w:t xml:space="preserve">, CRH agreed to acquire Arcosa in an</w:t>
      </w:r>
      <w:r>
        <w:t xml:space="preserve"> </w:t>
      </w:r>
      <w:r>
        <w:rPr>
          <w:b/>
          <w:bCs/>
        </w:rPr>
        <w:t xml:space="preserve">~</w:t>
      </w:r>
      <m:oMath>
        <m:r>
          <m:t>8.5</m:t>
        </m:r>
        <m:r>
          <m:t>b</m:t>
        </m:r>
        <m:r>
          <m:t>n</m:t>
        </m:r>
        <m:r>
          <m:t>a</m:t>
        </m:r>
        <m:r>
          <m:t>l</m:t>
        </m:r>
        <m:r>
          <m:t>l</m:t>
        </m:r>
        <m:r>
          <m:rPr>
            <m:sty m:val="p"/>
          </m:rPr>
          <m:t>−</m:t>
        </m:r>
        <m:r>
          <m:t>c</m:t>
        </m:r>
        <m:r>
          <m:t>a</m:t>
        </m:r>
        <m:r>
          <m:t>s</m:t>
        </m:r>
        <m:r>
          <m:t>h</m:t>
        </m:r>
        <m:r>
          <m:t>d</m:t>
        </m:r>
        <m:r>
          <m:t>e</m:t>
        </m:r>
        <m:r>
          <m:t>a</m:t>
        </m:r>
        <m:r>
          <m:t>l</m:t>
        </m:r>
        <m:r>
          <m:rPr>
            <m:sty m:val="p"/>
          </m:rPr>
          <m:t>(</m:t>
        </m:r>
      </m:oMath>
      <w:r>
        <w:rPr>
          <w:b/>
          <w:bCs/>
        </w:rPr>
        <w:t xml:space="preserve">150/share, ~10% premium)</w:t>
      </w:r>
      <w:r>
        <w:t xml:space="preserve">, expected to</w:t>
      </w:r>
      <w:r>
        <w:t xml:space="preserve"> </w:t>
      </w:r>
      <w:r>
        <w:rPr>
          <w:b/>
          <w:bCs/>
        </w:rPr>
        <w:t xml:space="preserve">close Q1 2027</w:t>
      </w:r>
      <w:r>
        <w:t xml:space="preserve"> </w:t>
      </w:r>
      <w:r>
        <w:t xml:space="preserve">— its largest-ever acquisition, deepening its US aggregates footprint.</w:t>
      </w:r>
    </w:p>
    <w:p>
      <w:pPr>
        <w:pStyle w:val="Compact"/>
        <w:numPr>
          <w:ilvl w:val="0"/>
          <w:numId w:val="1002"/>
        </w:numPr>
      </w:pPr>
      <w:r>
        <w:t xml:space="preserve">On</w:t>
      </w:r>
      <w:r>
        <w:t xml:space="preserve"> </w:t>
      </w:r>
      <w:r>
        <w:rPr>
          <w:b/>
          <w:bCs/>
        </w:rPr>
        <w:t xml:space="preserve">July 17</w:t>
      </w:r>
      <w:r>
        <w:t xml:space="preserve">, CRH secured a</w:t>
      </w:r>
      <w:r>
        <w:t xml:space="preserve"> </w:t>
      </w:r>
      <w:r>
        <w:rPr>
          <w:b/>
          <w:bCs/>
        </w:rPr>
        <w:t xml:space="preserve">$2.5bn term loan to reduce the Arcosa merger bridge facility</w:t>
      </w:r>
      <w:r>
        <w:t xml:space="preserve"> </w:t>
      </w:r>
      <w:r>
        <w:t xml:space="preserve">— expect management to detail financing structure, pro-forma leverage, and its commitment to an investment-grade (BBB+) rating.</w:t>
      </w:r>
    </w:p>
    <w:p>
      <w:pPr>
        <w:pStyle w:val="Compact"/>
        <w:numPr>
          <w:ilvl w:val="0"/>
          <w:numId w:val="1002"/>
        </w:numPr>
      </w:pPr>
      <w:r>
        <w:rPr>
          <w:b/>
          <w:bCs/>
        </w:rPr>
        <w:t xml:space="preserve">Balance-sheet context:</w:t>
      </w:r>
      <w:r>
        <w:t xml:space="preserve"> </w:t>
      </w:r>
      <w:r>
        <w:t xml:space="preserve">Net debt was already</w:t>
      </w:r>
      <w:r>
        <w:t xml:space="preserve"> </w:t>
      </w:r>
      <w:r>
        <w:rPr>
          <w:b/>
          <w:bCs/>
        </w:rPr>
        <w:t xml:space="preserve">$15.8bn</w:t>
      </w:r>
      <w:r>
        <w:t xml:space="preserve"> </w:t>
      </w:r>
      <w:r>
        <w:t xml:space="preserve">at end-Q1 (up from</w:t>
      </w:r>
      <w:r>
        <w:t xml:space="preserve"> </w:t>
      </w:r>
      <w:r>
        <w:t xml:space="preserve">$14.2bn at YE25) on seasonal outflows, M&amp;A and buybacks; gross debt ~$</w:t>
      </w:r>
      <w:r>
        <w:t xml:space="preserve">18.5bn. An $8.5bn cash deal on top of this is why capital-allocation discipline and the pace of buybacks will be scrutinized.</w:t>
      </w:r>
    </w:p>
    <w:p>
      <w:pPr>
        <w:pStyle w:val="Compact"/>
        <w:numPr>
          <w:ilvl w:val="0"/>
          <w:numId w:val="1002"/>
        </w:numPr>
      </w:pPr>
      <w:r>
        <w:rPr>
          <w:b/>
          <w:bCs/>
        </w:rPr>
        <w:t xml:space="preserve">Watch:</w:t>
      </w:r>
      <w:r>
        <w:t xml:space="preserve"> </w:t>
      </w:r>
      <w:r>
        <w:t xml:space="preserve">synergy framing (management cites a typical 2–2.5x entry-multiple reduction, e.g. Hunter cement, Eco Material), and whether the buyback cadence (a fresh $0.3bn tranche was due by July 28) slows to fund the deal.</w:t>
      </w:r>
    </w:p>
    <w:bookmarkEnd w:id="12"/>
    <w:bookmarkStart w:id="13" w:name="X6aa9c559f81d80266a8a300f5871cdb3398937b"/>
    <w:p>
      <w:pPr>
        <w:pStyle w:val="Heading2"/>
      </w:pPr>
      <w:r>
        <w:t xml:space="preserve">3. Ongoing portfolio churn</w:t>
      </w:r>
    </w:p>
    <w:p>
      <w:pPr>
        <w:pStyle w:val="Compact"/>
        <w:numPr>
          <w:ilvl w:val="0"/>
          <w:numId w:val="1003"/>
        </w:numPr>
      </w:pPr>
      <w:r>
        <w:t xml:space="preserve">YTD CRH agreed</w:t>
      </w:r>
      <w:r>
        <w:t xml:space="preserve"> </w:t>
      </w:r>
      <w:r>
        <w:rPr>
          <w:b/>
          <w:bCs/>
        </w:rPr>
        <w:t xml:space="preserve">$1.9bn of divestitures</w:t>
      </w:r>
      <w:r>
        <w:t xml:space="preserve"> </w:t>
      </w:r>
      <w:r>
        <w:t xml:space="preserve">(construction accessories $0.7bn, lawn &amp; garden $1.1bn, MoistureShield</w:t>
      </w:r>
      <w:r>
        <w:t xml:space="preserve"> </w:t>
      </w:r>
      <m:oMath>
        <m:r>
          <m:t>0.1</m:t>
        </m:r>
        <m:r>
          <m:t>b</m:t>
        </m:r>
        <m:r>
          <m:t>n</m:t>
        </m:r>
        <m:r>
          <m:rPr>
            <m:sty m:val="p"/>
          </m:rPr>
          <m:t>)</m:t>
        </m:r>
        <m:r>
          <m:t>a</m:t>
        </m:r>
        <m:r>
          <m:t>n</m:t>
        </m:r>
        <m:r>
          <m:t>d</m:t>
        </m:r>
        <m:r>
          <m:rPr>
            <m:sty m:val="p"/>
          </m:rPr>
          <m:t>*</m:t>
        </m:r>
        <m:r>
          <m:rPr>
            <m:sty m:val="p"/>
          </m:rPr>
          <m:t>*</m:t>
        </m:r>
        <m:r>
          <m:t> </m:t>
        </m:r>
      </m:oMath>
      <w:r>
        <w:t xml:space="preserve">0.9bn across 9 acquisitions**, headlined by</w:t>
      </w:r>
      <w:r>
        <w:t xml:space="preserve"> </w:t>
      </w:r>
      <w:r>
        <w:rPr>
          <w:b/>
          <w:bCs/>
        </w:rPr>
        <w:t xml:space="preserve">Axius Water (~</w:t>
      </w:r>
      <w:r>
        <w:rPr>
          <w:b/>
          <w:bCs/>
        </w:rPr>
        <w:t xml:space="preserve">$0.7bn)**. Construction Accessories, Lawn &amp; Garden and Axius were all slated to **close in Q2 2026** — expect confirmation and any gains/one-offs. Net scope impact to 2026 EBITDA guided at **~+$</w:t>
      </w:r>
      <w:r>
        <w:rPr>
          <w:b/>
          <w:bCs/>
        </w:rPr>
        <w:t xml:space="preserve">200m</w:t>
      </w:r>
      <w:r>
        <w:t xml:space="preserve">.</w:t>
      </w:r>
    </w:p>
    <w:p>
      <w:r>
        <w:pict>
          <v:rect style="width:0;height:1.5pt" o:hralign="center" o:hrstd="t" o:hr="t"/>
        </w:pict>
      </w:r>
    </w:p>
    <w:bookmarkEnd w:id="13"/>
    <w:bookmarkStart w:id="14" w:name="X410f76f4714645a9b73a7375a4d864f1b6df0cd"/>
    <w:p>
      <w:pPr>
        <w:pStyle w:val="Heading2"/>
      </w:pPr>
      <w:r>
        <w:t xml:space="preserve">4. Year-ago comparison (the bogey)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(Q2 2025)</w:t>
            </w:r>
          </w:p>
        </w:tc>
        <w:tc>
          <w:tcPr/>
          <w:p>
            <w:pPr>
              <w:pStyle w:val="Compact"/>
            </w:pPr>
            <w:r>
              <w:t xml:space="preserve">Result</w:t>
            </w:r>
          </w:p>
        </w:tc>
        <w:tc>
          <w:tcPr/>
          <w:p>
            <w:pPr>
              <w:pStyle w:val="Compact"/>
            </w:pPr>
            <w:r>
              <w:t xml:space="preserve">YoY then</w:t>
            </w:r>
          </w:p>
        </w:tc>
      </w:tr>
      <w:tr>
        <w:tc>
          <w:tcPr/>
          <w:p>
            <w:pPr>
              <w:pStyle w:val="Compact"/>
            </w:pPr>
            <w:r>
              <w:t xml:space="preserve">Total revenues</w:t>
            </w:r>
          </w:p>
        </w:tc>
        <w:tc>
          <w:tcPr/>
          <w:p>
            <w:pPr>
              <w:pStyle w:val="Compact"/>
            </w:pPr>
            <w:r>
              <w:t xml:space="preserve">$10.2bn</w:t>
            </w:r>
          </w:p>
        </w:tc>
        <w:tc>
          <w:tcPr/>
          <w:p>
            <w:pPr>
              <w:pStyle w:val="Compact"/>
            </w:pPr>
            <w:r>
              <w:t xml:space="preserve">+6%</w:t>
            </w:r>
          </w:p>
        </w:tc>
      </w:tr>
      <w:tr>
        <w:tc>
          <w:tcPr/>
          <w:p>
            <w:pPr>
              <w:pStyle w:val="Compact"/>
            </w:pPr>
            <w:r>
              <w:t xml:space="preserve">Adjusted EBITDA</w:t>
            </w:r>
          </w:p>
        </w:tc>
        <w:tc>
          <w:tcPr/>
          <w:p>
            <w:pPr>
              <w:pStyle w:val="Compact"/>
            </w:pPr>
            <w:r>
              <w:t xml:space="preserve">$2.46bn</w:t>
            </w:r>
          </w:p>
        </w:tc>
        <w:tc>
          <w:tcPr/>
          <w:p>
            <w:pPr>
              <w:pStyle w:val="Compact"/>
            </w:pPr>
            <w:r>
              <w:t xml:space="preserve">+9%</w:t>
            </w:r>
          </w:p>
        </w:tc>
      </w:tr>
      <w:tr>
        <w:tc>
          <w:tcPr/>
          <w:p>
            <w:pPr>
              <w:pStyle w:val="Compact"/>
            </w:pPr>
            <w:r>
              <w:t xml:space="preserve">Adj. EBITDA margin</w:t>
            </w:r>
          </w:p>
        </w:tc>
        <w:tc>
          <w:tcPr/>
          <w:p>
            <w:pPr>
              <w:pStyle w:val="Compact"/>
            </w:pPr>
            <w:r>
              <w:t xml:space="preserve">24.1%</w:t>
            </w:r>
          </w:p>
        </w:tc>
        <w:tc>
          <w:tcPr/>
          <w:p>
            <w:pPr>
              <w:pStyle w:val="Compact"/>
            </w:pPr>
            <w:r>
              <w:t xml:space="preserve">+70bps</w:t>
            </w:r>
          </w:p>
        </w:tc>
      </w:tr>
      <w:tr>
        <w:tc>
          <w:tcPr/>
          <w:p>
            <w:pPr>
              <w:pStyle w:val="Compact"/>
            </w:pPr>
            <w:r>
              <w:t xml:space="preserve">Net income</w:t>
            </w:r>
          </w:p>
        </w:tc>
        <w:tc>
          <w:tcPr/>
          <w:p>
            <w:pPr>
              <w:pStyle w:val="Compact"/>
            </w:pPr>
            <w:r>
              <w:t xml:space="preserve">$1.3bn</w:t>
            </w:r>
          </w:p>
        </w:tc>
        <w:tc>
          <w:tcPr/>
          <w:p>
            <w:pPr>
              <w:pStyle w:val="Compact"/>
            </w:pPr>
            <w:r>
              <w:t xml:space="preserve">+2%</w:t>
            </w:r>
          </w:p>
        </w:tc>
      </w:tr>
      <w:tr>
        <w:tc>
          <w:tcPr/>
          <w:p>
            <w:pPr>
              <w:pStyle w:val="Compact"/>
            </w:pPr>
            <w:r>
              <w:t xml:space="preserve">Diluted EPS</w:t>
            </w:r>
          </w:p>
        </w:tc>
        <w:tc>
          <w:tcPr/>
          <w:p>
            <w:pPr>
              <w:pStyle w:val="Compact"/>
            </w:pPr>
            <w:r>
              <w:t xml:space="preserve">$1.94</w:t>
            </w:r>
          </w:p>
        </w:tc>
        <w:tc>
          <w:tcPr/>
          <w:p>
            <w:pPr>
              <w:pStyle w:val="Compact"/>
            </w:pPr>
            <w:r>
              <w:t xml:space="preserve">+3%</w:t>
            </w:r>
          </w:p>
        </w:tc>
      </w:tr>
    </w:tbl>
    <w:p>
      <w:pPr>
        <w:pStyle w:val="BodyText"/>
      </w:pPr>
      <w:r>
        <w:t xml:space="preserve">Segment color from Q2'25: Americas Materials +2% rev / +4% EBITDA; Americas Building +2% / +5%; International +13% / +23%.</w:t>
      </w:r>
      <w:r>
        <w:t xml:space="preserve"> </w:t>
      </w:r>
      <w:r>
        <w:rPr>
          <w:b/>
          <w:bCs/>
        </w:rPr>
        <w:t xml:space="preserve">International was the standout again in Q1 2026 (+32% EBITDA, +130bps margin)</w:t>
      </w:r>
      <w:r>
        <w:t xml:space="preserve"> </w:t>
      </w:r>
      <w:r>
        <w:t xml:space="preserve">— watch whether that momentum (Europe recovery, Australia/Adbri synergies, FX tailwind) continues.</w:t>
      </w:r>
    </w:p>
    <w:p>
      <w:r>
        <w:pict>
          <v:rect style="width:0;height:1.5pt" o:hralign="center" o:hrstd="t" o:hr="t"/>
        </w:pict>
      </w:r>
    </w:p>
    <w:bookmarkEnd w:id="14"/>
    <w:bookmarkStart w:id="15" w:name="Xbe5e751358d786d837010f10438834e6a832d29"/>
    <w:p>
      <w:pPr>
        <w:pStyle w:val="Heading2"/>
      </w:pPr>
      <w:r>
        <w:t xml:space="preserve">5. Stock set-up: sentiment is cautious</w:t>
      </w:r>
    </w:p>
    <w:p>
      <w:pPr>
        <w:pStyle w:val="FirstParagraph"/>
      </w:pPr>
      <w:r>
        <w:t xml:space="preserve">CRH has meaningfully</w:t>
      </w:r>
      <w:r>
        <w:t xml:space="preserve"> </w:t>
      </w:r>
      <w:r>
        <w:rPr>
          <w:b/>
          <w:bCs/>
        </w:rPr>
        <w:t xml:space="preserve">underperformed US aggregates peers in 2026</w:t>
      </w:r>
      <w:r>
        <w:t xml:space="preserve">, which frames expectations going in: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YTD 2026 (thru 7/29)</w:t>
            </w:r>
          </w:p>
        </w:tc>
        <w:tc>
          <w:tcPr/>
          <w:p>
            <w:pPr>
              <w:pStyle w:val="Compact"/>
            </w:pPr>
            <w:r>
              <w:t xml:space="preserve">Since Arcosa deal (6/22 → 7/29)</w:t>
            </w:r>
          </w:p>
        </w:tc>
      </w:tr>
      <w:tr>
        <w:tc>
          <w:tcPr/>
          <w:p>
            <w:pPr>
              <w:pStyle w:val="Compact"/>
            </w:pPr>
            <w:r>
              <w:rPr>
                <w:b/>
                <w:bCs/>
              </w:rPr>
              <w:t xml:space="preserve">CRH</w:t>
            </w:r>
          </w:p>
        </w:tc>
        <w:tc>
          <w:tcPr/>
          <w:p>
            <w:pPr>
              <w:pStyle w:val="Compact"/>
            </w:pPr>
            <w:r>
              <w:rPr>
                <w:b/>
                <w:bCs/>
              </w:rPr>
              <w:t xml:space="preserve">≈ −21%</w:t>
            </w:r>
            <w:r>
              <w:t xml:space="preserve"> </w:t>
            </w:r>
            <w:r>
              <w:t xml:space="preserve">($126 → $100)</w:t>
            </w:r>
          </w:p>
        </w:tc>
        <w:tc>
          <w:tcPr/>
          <w:p>
            <w:pPr>
              <w:pStyle w:val="Compact"/>
            </w:pPr>
            <w:r>
              <w:t xml:space="preserve">≈ −10%</w:t>
            </w:r>
          </w:p>
        </w:tc>
      </w:tr>
      <w:tr>
        <w:tc>
          <w:tcPr/>
          <w:p>
            <w:pPr>
              <w:pStyle w:val="Compact"/>
            </w:pPr>
            <w:r>
              <w:t xml:space="preserve">Vulcan (VMC)</w:t>
            </w:r>
          </w:p>
        </w:tc>
        <w:tc>
          <w:tcPr/>
          <w:p>
            <w:pPr>
              <w:pStyle w:val="Compact"/>
            </w:pPr>
            <w:r>
              <w:t xml:space="preserve">≈ −2%</w:t>
            </w:r>
          </w:p>
        </w:tc>
        <w:tc>
          <w:tcPr/>
          <w:p>
            <w:pPr>
              <w:pStyle w:val="Compact"/>
            </w:pPr>
            <w:r>
              <w:t xml:space="preserve">≈ −6%</w:t>
            </w:r>
          </w:p>
        </w:tc>
      </w:tr>
      <w:tr>
        <w:tc>
          <w:tcPr/>
          <w:p>
            <w:pPr>
              <w:pStyle w:val="Compact"/>
            </w:pPr>
            <w:r>
              <w:t xml:space="preserve">Martin Marietta (MLM)</w:t>
            </w:r>
          </w:p>
        </w:tc>
        <w:tc>
          <w:tcPr/>
          <w:p>
            <w:pPr>
              <w:pStyle w:val="Compact"/>
            </w:pPr>
            <w:r>
              <w:t xml:space="preserve">≈ −10%</w:t>
            </w:r>
          </w:p>
        </w:tc>
        <w:tc>
          <w:tcPr/>
          <w:p>
            <w:pPr>
              <w:pStyle w:val="Compact"/>
            </w:pPr>
            <w:r>
              <w:t xml:space="preserve">≈ −6%</w:t>
            </w:r>
          </w:p>
        </w:tc>
      </w:tr>
    </w:tbl>
    <w:p>
      <w:pPr>
        <w:pStyle w:val="BodyText"/>
      </w:pPr>
      <w:r>
        <w:t xml:space="preserve">The stock fell from ~</w:t>
      </w:r>
      <m:oMath>
        <m:r>
          <m:t>126</m:t>
        </m:r>
        <m:r>
          <m:t>i</m:t>
        </m:r>
        <m:r>
          <m:t>n</m:t>
        </m:r>
        <m:r>
          <m:t>J</m:t>
        </m:r>
        <m:r>
          <m:t>a</m:t>
        </m:r>
        <m:r>
          <m:t>n</m:t>
        </m:r>
        <m:r>
          <m:t>u</m:t>
        </m:r>
        <m:r>
          <m:t>a</m:t>
        </m:r>
        <m:r>
          <m:t>r</m:t>
        </m:r>
        <m:r>
          <m:t>y</m:t>
        </m:r>
        <m:r>
          <m:t>t</m:t>
        </m:r>
        <m:r>
          <m:t>o</m:t>
        </m:r>
        <m:r>
          <m:t> </m:t>
        </m:r>
      </m:oMath>
      <w:r>
        <w:t xml:space="preserve">100, with a leg down after the March macro sell-off and a lukewarm reaction to the Arcosa deal. The takeaway:</w:t>
      </w:r>
      <w:r>
        <w:t xml:space="preserve"> </w:t>
      </w:r>
      <w:r>
        <w:rPr>
          <w:b/>
          <w:bCs/>
        </w:rPr>
        <w:t xml:space="preserve">the market appears skeptical/de-risked</w:t>
      </w:r>
      <w:r>
        <w:t xml:space="preserve"> </w:t>
      </w:r>
      <w:r>
        <w:t xml:space="preserve">— a guidance raise and confident Arcosa framing could be a positive catalyst; a mere reaffirm plus leverage concerns leaves room for further disappointment.</w:t>
      </w:r>
    </w:p>
    <w:p>
      <w:r>
        <w:pict>
          <v:rect style="width:0;height:1.5pt" o:hralign="center" o:hrstd="t" o:hr="t"/>
        </w:pict>
      </w:r>
    </w:p>
    <w:bookmarkEnd w:id="15"/>
    <w:bookmarkStart w:id="16" w:name="Xc49826ce073d64c3e04abc0190f79c67d3a8bd0"/>
    <w:p>
      <w:pPr>
        <w:pStyle w:val="Heading2"/>
      </w:pPr>
      <w:r>
        <w:t xml:space="preserve">6. Checklist for the print &amp; call</w:t>
      </w:r>
    </w:p>
    <w:p>
      <w:pPr>
        <w:pStyle w:val="Compact"/>
        <w:numPr>
          <w:ilvl w:val="0"/>
          <w:numId w:val="1004"/>
        </w:numPr>
      </w:pPr>
      <w:r>
        <w:rPr>
          <w:b/>
          <w:bCs/>
        </w:rPr>
        <w:t xml:space="preserve">Guidance action</w:t>
      </w:r>
      <w:r>
        <w:t xml:space="preserve"> </w:t>
      </w:r>
      <w:r>
        <w:t xml:space="preserve">— raise vs. reaffirm on FY26 EBITDA ($8.1–8.5bn); does it now embed the energy spike?</w:t>
      </w:r>
    </w:p>
    <w:p>
      <w:pPr>
        <w:pStyle w:val="Compact"/>
        <w:numPr>
          <w:ilvl w:val="0"/>
          <w:numId w:val="1004"/>
        </w:numPr>
      </w:pPr>
      <w:r>
        <w:rPr>
          <w:b/>
          <w:bCs/>
        </w:rPr>
        <w:t xml:space="preserve">Margins</w:t>
      </w:r>
      <w:r>
        <w:t xml:space="preserve"> </w:t>
      </w:r>
      <w:r>
        <w:t xml:space="preserve">— did mid-year price increases outrun cost inflation? Continued margin expansion?</w:t>
      </w:r>
    </w:p>
    <w:p>
      <w:pPr>
        <w:pStyle w:val="Compact"/>
        <w:numPr>
          <w:ilvl w:val="0"/>
          <w:numId w:val="1004"/>
        </w:numPr>
      </w:pPr>
      <w:r>
        <w:rPr>
          <w:b/>
          <w:bCs/>
        </w:rPr>
        <w:t xml:space="preserve">Americas volumes/backlogs</w:t>
      </w:r>
      <w:r>
        <w:t xml:space="preserve"> </w:t>
      </w:r>
      <w:r>
        <w:t xml:space="preserve">— aggregates &amp; cement price/volume as peak season converts.</w:t>
      </w:r>
    </w:p>
    <w:p>
      <w:pPr>
        <w:pStyle w:val="Compact"/>
        <w:numPr>
          <w:ilvl w:val="0"/>
          <w:numId w:val="1004"/>
        </w:numPr>
      </w:pPr>
      <w:r>
        <w:rPr>
          <w:b/>
          <w:bCs/>
        </w:rPr>
        <w:t xml:space="preserve">Arcosa</w:t>
      </w:r>
      <w:r>
        <w:t xml:space="preserve"> </w:t>
      </w:r>
      <w:r>
        <w:t xml:space="preserve">— financing (post the $2.5bn term loan), pro-forma leverage, IG rating commitment, synergy targets, Q1 2027 close timeline.</w:t>
      </w:r>
    </w:p>
    <w:p>
      <w:pPr>
        <w:pStyle w:val="Compact"/>
        <w:numPr>
          <w:ilvl w:val="0"/>
          <w:numId w:val="1004"/>
        </w:numPr>
      </w:pPr>
      <w:r>
        <w:rPr>
          <w:b/>
          <w:bCs/>
        </w:rPr>
        <w:t xml:space="preserve">Portfolio</w:t>
      </w:r>
      <w:r>
        <w:t xml:space="preserve"> </w:t>
      </w:r>
      <w:r>
        <w:t xml:space="preserve">— confirmation of Axius / construction accessories / lawn &amp; garden closings; any divestiture gains.</w:t>
      </w:r>
    </w:p>
    <w:p>
      <w:pPr>
        <w:pStyle w:val="Compact"/>
        <w:numPr>
          <w:ilvl w:val="0"/>
          <w:numId w:val="1004"/>
        </w:numPr>
      </w:pPr>
      <w:r>
        <w:rPr>
          <w:b/>
          <w:bCs/>
        </w:rPr>
        <w:t xml:space="preserve">Capital returns</w:t>
      </w:r>
      <w:r>
        <w:t xml:space="preserve"> </w:t>
      </w:r>
      <w:r>
        <w:t xml:space="preserve">— buyback pace and dividend ($0.39/qtr, +5%) sustainability alongside the Arcosa cash outlay.</w:t>
      </w:r>
    </w:p>
    <w:p>
      <w:pPr>
        <w:pStyle w:val="Compact"/>
        <w:numPr>
          <w:ilvl w:val="0"/>
          <w:numId w:val="1004"/>
        </w:numPr>
      </w:pPr>
      <w:r>
        <w:rPr>
          <w:b/>
          <w:bCs/>
        </w:rPr>
        <w:t xml:space="preserve">IIJA reauthorization</w:t>
      </w:r>
      <w:r>
        <w:t xml:space="preserve"> </w:t>
      </w:r>
      <w:r>
        <w:t xml:space="preserve">— any update ahead of the Sept 30 funding deadline; risk of continuing resolution.</w:t>
      </w:r>
    </w:p>
    <w:p>
      <w:pPr>
        <w:pStyle w:val="Compact"/>
        <w:numPr>
          <w:ilvl w:val="0"/>
          <w:numId w:val="1004"/>
        </w:numPr>
      </w:pPr>
      <w:r>
        <w:rPr>
          <w:b/>
          <w:bCs/>
        </w:rPr>
        <w:t xml:space="preserve">International</w:t>
      </w:r>
      <w:r>
        <w:t xml:space="preserve"> </w:t>
      </w:r>
      <w:r>
        <w:t xml:space="preserve">— whether the outsized EBITDA/margin momentum persists.</w:t>
      </w:r>
    </w:p>
    <w:p>
      <w:pPr>
        <w:pStyle w:val="FirstParagraph"/>
      </w:pPr>
      <w:r>
        <w:rPr>
          <w:b/>
          <w:bCs/>
        </w:rPr>
        <w:t xml:space="preserve">Bottom line:</w:t>
      </w:r>
      <w:r>
        <w:t xml:space="preserve"> </w:t>
      </w:r>
      <w:r>
        <w:t xml:space="preserve">With Q1 strong, backlogs up, and 2026 shaping up as a "record" infrastructure year, the operational bar favors an in-line-to-better quarter and a likely guidance raise. The debate is less about the base business and more about (a) whether energy erodes the margin story and (b) how the market digests a large, debt-funded Arcosa deal against a stock that's already down ~20% YTD and lagging peers.</w:t>
      </w:r>
    </w:p>
    <w:p>
      <w:r>
        <w:pict>
          <v:rect style="width:0;height:1.5pt" o:hralign="center" o:hrstd="t" o:hr="t"/>
        </w:pict>
      </w:r>
    </w:p>
    <w:p>
      <w:pPr>
        <w:pStyle w:val="FirstParagraph"/>
      </w:pPr>
      <w:r>
        <w:rPr>
          <w:i/>
          <w:iCs/>
        </w:rPr>
        <w:t xml:space="preserve">Note: I did not have access to a live sell-side consensus for Q2 2026, so the "bogey" above is anchored to year-ago actuals and current guidance rather than published estimates. Figures are drawn from CRH's Q1 2026 and Q2 2025 releases/calls, deal news, and market prices through 7/29/2026.</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2026-07-29T17:54:52Z</dcterms:created>
  <dcterms:modified xsi:type="dcterms:W3CDTF">2026-07-29T17:54:52Z</dcterms:modified>
</cp:coreProperties>
</file>

<file path=docProps/custom.xml><?xml version="1.0" encoding="utf-8"?>
<Properties xmlns="http://schemas.openxmlformats.org/officeDocument/2006/custom-properties" xmlns:vt="http://schemas.openxmlformats.org/officeDocument/2006/docPropsVTypes"/>
</file>