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rh-earnings-predictions--2026-07-30"/>
    <w:p>
      <w:pPr>
        <w:pStyle w:val="Heading1"/>
      </w:pPr>
      <w:r>
        <w:t xml:space="preserve">CRH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~$2.00 vs. cons $1.96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~$10.85B vs. cons $10.72B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Americas Materials Solutions Segment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~$5.05B vs. cons $4.94B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~$8.4B vs. cons $8.31B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~$5.90 vs. cons $5.92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Buyback/Capital Return Cadence Post-Arcosa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</m:t>
              </m:r>
              <m:r>
                <m:t>n</m:t>
              </m:r>
              <m:r>
                <m:t>e</m:t>
              </m:r>
              <m:r>
                <m:t>w</m:t>
              </m:r>
              <m:r>
                <m:t>t</m:t>
              </m:r>
              <m:r>
                <m:t>r</m:t>
              </m:r>
              <m:r>
                <m:t>a</m:t>
              </m:r>
              <m:r>
                <m:t>n</m:t>
              </m:r>
              <m:r>
                <m:t>c</m:t>
              </m:r>
              <m:r>
                <m:t>h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300M continued buyback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An EPS/revenue beat and reaffirmed-to-slightly-raised FY26 EBITDA guidance should spark an initial relief rally given the stock's ~20% YTD de-rating, but the pause in buybacks post-July and confirmation that Arcosa financing (term loan + remaining bridge) will raise pro-forma interest expense in 2H26/2027 should prompt analysts to trim out-quarter EPS estimates even after the headline beat, causing the pop to partially fade over the week as the leverage/dilution math gets modeled in.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2026-07-29T17:54:07Z</dcterms:created>
  <dcterms:modified xsi:type="dcterms:W3CDTF">2026-07-29T17:54:07Z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