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916dbf73d5f4172d901bb2211aeb5fbf9017914"/>
    <w:p>
      <w:pPr>
        <w:pStyle w:val="Heading1"/>
      </w:pPr>
      <w:r>
        <w:t xml:space="preserve">CRH plc (NYSE: CRH) — Q2 2026 Earnings Preview</w:t>
      </w:r>
    </w:p>
    <w:p>
      <w:pPr>
        <w:pStyle w:val="FirstParagraph"/>
      </w:pPr>
      <w:r>
        <w:rPr>
          <w:b/>
          <w:bCs/>
        </w:rPr>
        <w:t xml:space="preserve">Report Date:</w:t>
      </w:r>
      <w:r>
        <w:t xml:space="preserve"> </w:t>
      </w:r>
      <w:r>
        <w:t xml:space="preserve">Thursday, July 30,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X42f234c597353bb2621c6b560e58ba5bb2a4b1c"/>
    <w:p>
      <w:pPr>
        <w:pStyle w:val="Heading2"/>
      </w:pPr>
      <w:r>
        <w:t xml:space="preserve">1. Setting the Scene</w:t>
      </w:r>
    </w:p>
    <w:p>
      <w:pPr>
        <w:pStyle w:val="FirstParagraph"/>
      </w:pPr>
      <w:r>
        <w:t xml:space="preserve">CRH heads into its second-quarter print — historically one of its two seasonally strongest quarters — against a backdrop of solid underlying operating momentum but a stock that has been under considerable pressure. Shares have fallen from roughly $126 in early January to just above $100 heading into the print, a decline of nearly 20% year-to-date, even as the company delivered a strong Q1. Note also that despite Q1 strength, CRH stock had gained just 10.4% over the trailing 52 weeks, slightly underperforming both the S&amp;P 500 and the Materials Select Sector SPDR ETF as of mid-July. The disconnect between operating performance and share price is likely the single biggest question investors want addressed on the call.</w:t>
      </w:r>
    </w:p>
    <w:bookmarkEnd w:id="9"/>
    <w:bookmarkStart w:id="10" w:name="X2674820dfc099d9ceb7a100b10658b4868dcaa4"/>
    <w:p>
      <w:pPr>
        <w:pStyle w:val="Heading2"/>
      </w:pPr>
      <w:r>
        <w:t xml:space="preserve">2. Wall Street Expectations</w:t>
      </w:r>
    </w:p>
    <w:p>
      <w:pPr>
        <w:pStyle w:val="FirstParagraph"/>
      </w:pPr>
      <w:r>
        <w:t xml:space="preserve">Consensus for Q2 2026 (per Zacks/Yahoo compilations):</w:t>
      </w:r>
    </w:p>
    <w:p>
      <w:pPr>
        <w:pStyle w:val="Compact"/>
        <w:numPr>
          <w:ilvl w:val="0"/>
          <w:numId w:val="1001"/>
        </w:numPr>
      </w:pPr>
      <w:r>
        <w:rPr>
          <w:b/>
          <w:bCs/>
        </w:rPr>
        <w:t xml:space="preserve">EPS:</w:t>
      </w:r>
      <w:r>
        <w:t xml:space="preserve"> </w:t>
      </w:r>
      <w:r>
        <w:t xml:space="preserve">$1.96 per share, reflecting an increase of 1% compared to the same period last year, a figure that has seen an upward revision of 1.7% in the consensus estimate over the last 30 days.</w:t>
      </w:r>
    </w:p>
    <w:p>
      <w:pPr>
        <w:pStyle w:val="Compact"/>
        <w:numPr>
          <w:ilvl w:val="0"/>
          <w:numId w:val="1001"/>
        </w:numPr>
      </w:pPr>
      <w:r>
        <w:rPr>
          <w:b/>
          <w:bCs/>
        </w:rPr>
        <w:t xml:space="preserve">Revenue:</w:t>
      </w:r>
      <w:r>
        <w:t xml:space="preserve"> </w:t>
      </w:r>
      <w:r>
        <w:t xml:space="preserve">$10.72 billion, representing a year-over-year increase of 5.1%.</w:t>
      </w:r>
    </w:p>
    <w:p>
      <w:pPr>
        <w:pStyle w:val="Compact"/>
        <w:numPr>
          <w:ilvl w:val="0"/>
          <w:numId w:val="1001"/>
        </w:numPr>
      </w:pPr>
      <w:r>
        <w:t xml:space="preserve">Segment revenue consensus: Americas Materials Solutions revenue of $4.94 billion, up 9.6% year-over-year; International Solutions revenue of $3.77 billion, up 6.5% year-over-year; Americas Building Solutions revenue of about $2.01 billion, down 6.8% from the prior-year quarter (reflecting divestitures and soft new-build residential demand).</w:t>
      </w:r>
    </w:p>
    <w:p>
      <w:pPr>
        <w:pStyle w:val="Compact"/>
        <w:numPr>
          <w:ilvl w:val="0"/>
          <w:numId w:val="1001"/>
        </w:numPr>
      </w:pPr>
      <w:r>
        <w:t xml:space="preserve">For the full year, analysts expect CRH to report EPS of $5.92, up 6.3% from $5.57 in fiscal 2025, improving a further 13.2% to $6.70 in fiscal 2027 — broadly consistent with CRH's own</w:t>
      </w:r>
      <w:r>
        <w:t xml:space="preserve"> </w:t>
      </w:r>
      <m:oMath>
        <m:r>
          <m:t>5.60</m:t>
        </m:r>
        <m:r>
          <m:rPr>
            <m:sty m:val="p"/>
          </m:rPr>
          <m:t>–</m:t>
        </m:r>
      </m:oMath>
      <w:r>
        <w:t xml:space="preserve">6.05 guidance range.</w:t>
      </w:r>
    </w:p>
    <w:p>
      <w:pPr>
        <w:pStyle w:val="Compact"/>
        <w:numPr>
          <w:ilvl w:val="0"/>
          <w:numId w:val="1001"/>
        </w:numPr>
      </w:pPr>
      <w:r>
        <w:t xml:space="preserve">Track record: in the last reported quarter CRH missed the consensus loss estimate by 5.3% while revenue beat by 3%; earnings have topped consensus in two of the last four quarters, met once, and missed once, with an average surprise of 0.7%.</w:t>
      </w:r>
    </w:p>
    <w:p>
      <w:pPr>
        <w:pStyle w:val="FirstParagraph"/>
      </w:pPr>
      <w:r>
        <w:t xml:space="preserve">Zacks framed the setup as supported by highway and infrastructure activity, backlog conversion and stronger execution across aggregates, asphalt, ready-mixed concrete and paving, with demand from semiconductor, data center, utility, water and transportation projects partly offsetting weak new residential construction, while international operations likely gained from infrastructure investment and acquisitions. On the cost side, margins could face pressure from ongoing cost inflation in labor and energy, increased depreciation from growth investments and acquisitions, higher interest expense from elevated debt balances, continued softness in residential construction, and mix effects from completed or pending divestitures.</w:t>
      </w:r>
    </w:p>
    <w:bookmarkEnd w:id="10"/>
    <w:bookmarkStart w:id="11" w:name="Xe6732a559ffb7cf3a2a9a4095a4275b22d49e79"/>
    <w:p>
      <w:pPr>
        <w:pStyle w:val="Heading2"/>
      </w:pPr>
      <w:r>
        <w:t xml:space="preserve">3. The Elephant in the Room: The Arcosa Acquisition</w:t>
      </w:r>
    </w:p>
    <w:p>
      <w:pPr>
        <w:pStyle w:val="FirstParagraph"/>
      </w:pPr>
      <w:r>
        <w:t xml:space="preserve">Since the Q1 call, CRH has announced the largest acquisition in its history: on June 22, 2026, CRH agreed to acquire</w:t>
      </w:r>
      <w:r>
        <w:t xml:space="preserve"> </w:t>
      </w:r>
      <w:r>
        <w:rPr>
          <w:b/>
          <w:bCs/>
        </w:rPr>
        <w:t xml:space="preserve">Arcosa, Inc. (NYSE: ACA)</w:t>
      </w:r>
      <w:r>
        <w:t xml:space="preserve"> </w:t>
      </w:r>
      <w:r>
        <w:t xml:space="preserve">in an all-cash deal.</w:t>
      </w:r>
    </w:p>
    <w:p>
      <w:pPr>
        <w:pStyle w:val="Compact"/>
        <w:numPr>
          <w:ilvl w:val="0"/>
          <w:numId w:val="1002"/>
        </w:numPr>
      </w:pPr>
      <w:r>
        <w:rPr>
          <w:b/>
          <w:bCs/>
        </w:rPr>
        <w:t xml:space="preserve">Deal terms:</w:t>
      </w:r>
      <w:r>
        <w:t xml:space="preserve"> </w:t>
      </w:r>
      <w:r>
        <w:t xml:space="preserve">CRH agreed to pay $150.00 per share in cash, valuing Arcosa at an enterprise value of approximately $8.5 billion, implying an 11.5x multiple of 2026E Adjusted EBITDA, assuming $175 million of annual run-rate cost synergies by year three. The offer represented a 25% premium to Arcosa's 60-day trading VWAP as of June 18, 2026.</w:t>
      </w:r>
    </w:p>
    <w:p>
      <w:pPr>
        <w:pStyle w:val="Compact"/>
        <w:numPr>
          <w:ilvl w:val="0"/>
          <w:numId w:val="1002"/>
        </w:numPr>
      </w:pPr>
      <w:r>
        <w:rPr>
          <w:b/>
          <w:bCs/>
        </w:rPr>
        <w:t xml:space="preserve">Strategic rationale:</w:t>
      </w:r>
      <w:r>
        <w:t xml:space="preserve"> </w:t>
      </w:r>
      <w:r>
        <w:t xml:space="preserve">Management framed this as reinforcing CRH's aggregates leadership — Arcosa's Construction Products business is a leading U.S. aggregates platform, with 109 quarries and yards, nine asphalt plants, 19 terminals and approximately 35 million tons of 2025 aggregates shipments. CRH called the deal highly complementary, advancing CRH's strategy to build an aggregates-led, connected portfolio aligned with growing infrastructure megatrends, and expected to be accretive to earnings, margin and cash flow in the first 12 months post-completion.</w:t>
      </w:r>
    </w:p>
    <w:p>
      <w:pPr>
        <w:pStyle w:val="Compact"/>
        <w:numPr>
          <w:ilvl w:val="0"/>
          <w:numId w:val="1002"/>
        </w:numPr>
      </w:pPr>
      <w:r>
        <w:rPr>
          <w:b/>
          <w:bCs/>
        </w:rPr>
        <w:t xml:space="preserve">Financing:</w:t>
      </w:r>
      <w:r>
        <w:t xml:space="preserve"> </w:t>
      </w:r>
      <w:r>
        <w:t xml:space="preserve">CRH is funding the deal with a mix of cash and debt. It initially arranged a $5.75 billion bridge facility agreement with lenders, under which amounts borrowed may be used to pay the Merger consideration, refinance certain Arcosa debt, and cover fees and expenses. On July 17, just ahead of this earnings report, CRH entered into a three-year $2.5 billion term loan facility, which reduced the Bridge Facility commitments to $3.25 billion. Management has signaled it expects to term out the remaining bridge with permanent financing before closing.</w:t>
      </w:r>
    </w:p>
    <w:p>
      <w:pPr>
        <w:pStyle w:val="Compact"/>
        <w:numPr>
          <w:ilvl w:val="0"/>
          <w:numId w:val="1002"/>
        </w:numPr>
      </w:pPr>
      <w:r>
        <w:rPr>
          <w:b/>
          <w:bCs/>
        </w:rPr>
        <w:t xml:space="preserve">Leverage/credit:</w:t>
      </w:r>
      <w:r>
        <w:t xml:space="preserve"> </w:t>
      </w:r>
      <w:r>
        <w:t xml:space="preserve">CRH has emphasized balance sheet discipline, citing a pro forma FY2026E Net Debt/Adjusted EBITDA of 2.4x and reiterating its commitment to maintaining a strong investment-grade credit rating.</w:t>
      </w:r>
    </w:p>
    <w:p>
      <w:pPr>
        <w:pStyle w:val="Compact"/>
        <w:numPr>
          <w:ilvl w:val="0"/>
          <w:numId w:val="1002"/>
        </w:numPr>
      </w:pPr>
      <w:r>
        <w:rPr>
          <w:b/>
          <w:bCs/>
        </w:rPr>
        <w:t xml:space="preserve">Timing:</w:t>
      </w:r>
      <w:r>
        <w:t xml:space="preserve"> </w:t>
      </w:r>
      <w:r>
        <w:t xml:space="preserve">Closing is targeted for Q1 2027, subject to Arcosa stockholder approval, antitrust and other regulatory clearances.</w:t>
      </w:r>
    </w:p>
    <w:p>
      <w:pPr>
        <w:pStyle w:val="Compact"/>
        <w:numPr>
          <w:ilvl w:val="0"/>
          <w:numId w:val="1002"/>
        </w:numPr>
      </w:pPr>
      <w:r>
        <w:rPr>
          <w:b/>
          <w:bCs/>
        </w:rPr>
        <w:t xml:space="preserve">Capital returns implication:</w:t>
      </w:r>
      <w:r>
        <w:t xml:space="preserve"> </w:t>
      </w:r>
      <w:r>
        <w:t xml:space="preserve">Coverage at announcement suggested CRH had signaled it would pause initiating a new tranche of its ongoing share buyback once the current phase ends in July 2026 — worth confirming explicitly on tomorrow's call, especially since Q1 management had just announced a fresh $300 million buyback tranche "no later than July 28."</w:t>
      </w:r>
    </w:p>
    <w:p>
      <w:pPr>
        <w:pStyle w:val="FirstParagraph"/>
      </w:pPr>
      <w:r>
        <w:rPr>
          <w:b/>
          <w:bCs/>
        </w:rPr>
        <w:t xml:space="preserve">Key questions for the call:</w:t>
      </w:r>
      <w:r>
        <w:t xml:space="preserve"> </w:t>
      </w:r>
      <w:r>
        <w:t xml:space="preserve">How much of Q2/Q3 will be consumed discussing Arcosa integration planning, updated pro forma synergy math, permanent financing plans, and the buyback pause/resumption cadence? Investors should also listen for any update on the regulatory approval timeline and whether management still expects a Q1 2027 close.</w:t>
      </w:r>
    </w:p>
    <w:bookmarkEnd w:id="11"/>
    <w:bookmarkStart w:id="12" w:name="X943dd9857f899634ed9d653d514a87bbf7abee3"/>
    <w:p>
      <w:pPr>
        <w:pStyle w:val="Heading2"/>
      </w:pPr>
      <w:r>
        <w:t xml:space="preserve">4. Other Portfolio Moves Since Q1</w:t>
      </w:r>
    </w:p>
    <w:p>
      <w:pPr>
        <w:pStyle w:val="FirstParagraph"/>
      </w:pPr>
      <w:r>
        <w:t xml:space="preserve">Beyond Arcosa, CRH's "continuous" portfolio management story continues:</w:t>
      </w:r>
    </w:p>
    <w:p>
      <w:pPr>
        <w:pStyle w:val="Compact"/>
        <w:numPr>
          <w:ilvl w:val="0"/>
          <w:numId w:val="1003"/>
        </w:numPr>
      </w:pPr>
      <w:r>
        <w:t xml:space="preserve">The</w:t>
      </w:r>
      <w:r>
        <w:t xml:space="preserve"> </w:t>
      </w:r>
      <w:r>
        <w:rPr>
          <w:b/>
          <w:bCs/>
        </w:rPr>
        <w:t xml:space="preserve">Axius Water</w:t>
      </w:r>
      <w:r>
        <w:t xml:space="preserve"> </w:t>
      </w:r>
      <w:r>
        <w:t xml:space="preserve">acquisition (~</w:t>
      </w:r>
      <m:oMath>
        <m:r>
          <m:t>700</m:t>
        </m:r>
        <m:r>
          <m:t>m</m:t>
        </m:r>
        <m:r>
          <m:t>i</m:t>
        </m:r>
        <m:r>
          <m:t>l</m:t>
        </m:r>
        <m:r>
          <m:t>l</m:t>
        </m:r>
        <m:r>
          <m:t>i</m:t>
        </m:r>
        <m:r>
          <m:t>o</m:t>
        </m:r>
        <m:r>
          <m:t>n</m:t>
        </m:r>
        <m:r>
          <m:rPr>
            <m:sty m:val="p"/>
          </m:rPr>
          <m:t>,</m:t>
        </m:r>
        <m:r>
          <m:t>e</m:t>
        </m:r>
        <m:r>
          <m:t>x</m:t>
        </m:r>
        <m:r>
          <m:t>p</m:t>
        </m:r>
        <m:r>
          <m:t>a</m:t>
        </m:r>
        <m:r>
          <m:t>n</m:t>
        </m:r>
        <m:r>
          <m:t>d</m:t>
        </m:r>
        <m:r>
          <m:t>i</m:t>
        </m:r>
        <m:r>
          <m:t>n</m:t>
        </m:r>
        <m:r>
          <m:t>g</m:t>
        </m:r>
        <m:r>
          <m:t>t</m:t>
        </m:r>
        <m:r>
          <m:t>h</m:t>
        </m:r>
        <m:r>
          <m:t>e</m:t>
        </m:r>
        <m:r>
          <m:t>w</m:t>
        </m:r>
        <m:r>
          <m:t>a</m:t>
        </m:r>
        <m:r>
          <m:t>t</m:t>
        </m:r>
        <m:r>
          <m:t>e</m:t>
        </m:r>
        <m:r>
          <m:t>r</m:t>
        </m:r>
        <m:r>
          <m:rPr>
            <m:sty m:val="p"/>
          </m:rPr>
          <m:t>−</m:t>
        </m:r>
        <m:r>
          <m:t>q</m:t>
        </m:r>
        <m:r>
          <m:t>u</m:t>
        </m:r>
        <m:r>
          <m:t>a</m:t>
        </m:r>
        <m:r>
          <m:t>l</m:t>
        </m:r>
        <m:r>
          <m:t>i</m:t>
        </m:r>
        <m:r>
          <m:t>t</m:t>
        </m:r>
        <m:r>
          <m:t>y</m:t>
        </m:r>
        <m:r>
          <m:t>p</m:t>
        </m:r>
        <m:r>
          <m:t>l</m:t>
        </m:r>
        <m:r>
          <m:t>a</m:t>
        </m:r>
        <m:r>
          <m:t>t</m:t>
        </m:r>
        <m:r>
          <m:t>f</m:t>
        </m:r>
        <m:r>
          <m:t>o</m:t>
        </m:r>
        <m:r>
          <m:t>r</m:t>
        </m:r>
        <m:r>
          <m:t>m</m:t>
        </m:r>
        <m:r>
          <m:rPr>
            <m:sty m:val="p"/>
          </m:rPr>
          <m:t>)</m:t>
        </m:r>
        <m:r>
          <m:t>a</m:t>
        </m:r>
        <m:r>
          <m:t>n</m:t>
        </m:r>
        <m:r>
          <m:t>d</m:t>
        </m:r>
        <m:r>
          <m:t>t</m:t>
        </m:r>
        <m:r>
          <m:t>h</m:t>
        </m:r>
        <m:r>
          <m:t>e</m:t>
        </m:r>
        <m:r>
          <m:t>d</m:t>
        </m:r>
        <m:r>
          <m:t>i</m:t>
        </m:r>
        <m:r>
          <m:t>v</m:t>
        </m:r>
        <m:r>
          <m:t>e</m:t>
        </m:r>
        <m:r>
          <m:t>s</m:t>
        </m:r>
        <m:r>
          <m:t>t</m:t>
        </m:r>
        <m:r>
          <m:t>i</m:t>
        </m:r>
        <m:r>
          <m:t>t</m:t>
        </m:r>
        <m:r>
          <m:t>u</m:t>
        </m:r>
        <m:r>
          <m:t>r</m:t>
        </m:r>
        <m:r>
          <m:t>e</m:t>
        </m:r>
        <m:r>
          <m:t>s</m:t>
        </m:r>
        <m:r>
          <m:t>o</m:t>
        </m:r>
        <m:r>
          <m:t>f</m:t>
        </m:r>
        <m:r>
          <m:rPr>
            <m:sty m:val="p"/>
          </m:rPr>
          <m:t>*</m:t>
        </m:r>
        <m:r>
          <m:rPr>
            <m:sty m:val="p"/>
          </m:rPr>
          <m:t>*</m:t>
        </m:r>
        <m:r>
          <m:t>C</m:t>
        </m:r>
        <m:r>
          <m:t>o</m:t>
        </m:r>
        <m:r>
          <m:t>n</m:t>
        </m:r>
        <m:r>
          <m:t>s</m:t>
        </m:r>
        <m:r>
          <m:t>t</m:t>
        </m:r>
        <m:r>
          <m:t>r</m:t>
        </m:r>
        <m:r>
          <m:t>u</m:t>
        </m:r>
        <m:r>
          <m:t>c</m:t>
        </m:r>
        <m:r>
          <m:t>t</m:t>
        </m:r>
        <m:r>
          <m:t>i</m:t>
        </m:r>
        <m:r>
          <m:t>o</m:t>
        </m:r>
        <m:r>
          <m:t>n</m:t>
        </m:r>
        <m:r>
          <m:t>A</m:t>
        </m:r>
        <m:r>
          <m:t>c</m:t>
        </m:r>
        <m:r>
          <m:t>c</m:t>
        </m:r>
        <m:r>
          <m:t>e</m:t>
        </m:r>
        <m:r>
          <m:t>s</m:t>
        </m:r>
        <m:r>
          <m:t>s</m:t>
        </m:r>
        <m:r>
          <m:t>o</m:t>
        </m:r>
        <m:r>
          <m:t>r</m:t>
        </m:r>
        <m:r>
          <m:t>i</m:t>
        </m:r>
        <m:r>
          <m:t>e</m:t>
        </m:r>
        <m:r>
          <m:t>s</m:t>
        </m:r>
        <m:r>
          <m:rPr>
            <m:sty m:val="p"/>
          </m:rPr>
          <m:t>*</m:t>
        </m:r>
        <m:r>
          <m:rPr>
            <m:sty m:val="p"/>
          </m:rPr>
          <m:t>*</m:t>
        </m:r>
        <m:r>
          <m:rPr>
            <m:sty m:val="p"/>
          </m:rPr>
          <m:t>(</m:t>
        </m:r>
        <m:r>
          <m:t> </m:t>
        </m:r>
      </m:oMath>
      <w:r>
        <w:t xml:space="preserve">0.7bn) and</w:t>
      </w:r>
      <w:r>
        <w:t xml:space="preserve"> </w:t>
      </w:r>
      <w:r>
        <w:rPr>
          <w:b/>
          <w:bCs/>
        </w:rPr>
        <w:t xml:space="preserve">Lawn &amp; Garden</w:t>
      </w:r>
      <w:r>
        <w:t xml:space="preserve"> </w:t>
      </w:r>
      <w:r>
        <w:t xml:space="preserve">(~</w:t>
      </w:r>
      <m:oMath>
        <m:r>
          <m:t>1.1</m:t>
        </m:r>
        <m:r>
          <m:t>b</m:t>
        </m:r>
        <m:r>
          <m:t>n</m:t>
        </m:r>
        <m:r>
          <m:rPr>
            <m:sty m:val="p"/>
          </m:rPr>
          <m:t>)</m:t>
        </m:r>
        <m:r>
          <m:t>w</m:t>
        </m:r>
        <m:r>
          <m:t>e</m:t>
        </m:r>
        <m:r>
          <m:t>r</m:t>
        </m:r>
        <m:r>
          <m:t>e</m:t>
        </m:r>
        <m:r>
          <m:t>a</m:t>
        </m:r>
        <m:r>
          <m:t>l</m:t>
        </m:r>
        <m:r>
          <m:t>l</m:t>
        </m:r>
        <m:r>
          <m:t>e</m:t>
        </m:r>
        <m:r>
          <m:t>x</m:t>
        </m:r>
        <m:r>
          <m:t>p</m:t>
        </m:r>
        <m:r>
          <m:t>e</m:t>
        </m:r>
        <m:r>
          <m:t>c</m:t>
        </m:r>
        <m:r>
          <m:t>t</m:t>
        </m:r>
        <m:r>
          <m:t>e</m:t>
        </m:r>
        <m:r>
          <m:t>d</m:t>
        </m:r>
        <m:r>
          <m:t>t</m:t>
        </m:r>
        <m:r>
          <m:t>o</m:t>
        </m:r>
        <m:r>
          <m:t>c</m:t>
        </m:r>
        <m:r>
          <m:t>l</m:t>
        </m:r>
        <m:r>
          <m:t>o</m:t>
        </m:r>
        <m:r>
          <m:t>s</m:t>
        </m:r>
        <m:r>
          <m:t>e</m:t>
        </m:r>
        <m:r>
          <m:t>i</m:t>
        </m:r>
        <m:r>
          <m:t>n</m:t>
        </m:r>
        <m:r>
          <m:t>Q</m:t>
        </m:r>
        <m:r>
          <m:t>2</m:t>
        </m:r>
        <m:r>
          <m:t>2026</m:t>
        </m:r>
        <m:r>
          <m:rPr>
            <m:sty m:val="p"/>
          </m:rPr>
          <m:t>—</m:t>
        </m:r>
        <m:r>
          <m:t>i</m:t>
        </m:r>
        <m:r>
          <m:t>n</m:t>
        </m:r>
        <m:r>
          <m:t>v</m:t>
        </m:r>
        <m:r>
          <m:t>e</m:t>
        </m:r>
        <m:r>
          <m:t>s</m:t>
        </m:r>
        <m:r>
          <m:t>t</m:t>
        </m:r>
        <m:r>
          <m:t>o</m:t>
        </m:r>
        <m:r>
          <m:t>r</m:t>
        </m:r>
        <m:r>
          <m:t>s</m:t>
        </m:r>
        <m:r>
          <m:t>w</m:t>
        </m:r>
        <m:r>
          <m:t>i</m:t>
        </m:r>
        <m:r>
          <m:t>l</m:t>
        </m:r>
        <m:r>
          <m:t>l</m:t>
        </m:r>
        <m:r>
          <m:t>w</m:t>
        </m:r>
        <m:r>
          <m:t>a</m:t>
        </m:r>
        <m:r>
          <m:t>n</m:t>
        </m:r>
        <m:r>
          <m:t>t</m:t>
        </m:r>
        <m:r>
          <m:t>c</m:t>
        </m:r>
        <m:r>
          <m:t>o</m:t>
        </m:r>
        <m:r>
          <m:t>n</m:t>
        </m:r>
        <m:r>
          <m:t>f</m:t>
        </m:r>
        <m:r>
          <m:t>i</m:t>
        </m:r>
        <m:r>
          <m:t>r</m:t>
        </m:r>
        <m:r>
          <m:t>m</m:t>
        </m:r>
        <m:r>
          <m:t>a</m:t>
        </m:r>
        <m:r>
          <m:t>t</m:t>
        </m:r>
        <m:r>
          <m:t>i</m:t>
        </m:r>
        <m:r>
          <m:t>o</m:t>
        </m:r>
        <m:r>
          <m:t>n</m:t>
        </m:r>
        <m:r>
          <m:t>t</m:t>
        </m:r>
        <m:r>
          <m:t>h</m:t>
        </m:r>
        <m:r>
          <m:t>e</m:t>
        </m:r>
        <m:r>
          <m:t>s</m:t>
        </m:r>
        <m:r>
          <m:t>e</m:t>
        </m:r>
        <m:r>
          <m:t>c</m:t>
        </m:r>
        <m:r>
          <m:t>l</m:t>
        </m:r>
        <m:r>
          <m:t>o</m:t>
        </m:r>
        <m:r>
          <m:t>s</m:t>
        </m:r>
        <m:r>
          <m:t>e</m:t>
        </m:r>
        <m:r>
          <m:t>d</m:t>
        </m:r>
        <m:r>
          <m:t>a</m:t>
        </m:r>
        <m:r>
          <m:t>s</m:t>
        </m:r>
        <m:r>
          <m:t>p</m:t>
        </m:r>
        <m:r>
          <m:t>l</m:t>
        </m:r>
        <m:r>
          <m:t>a</m:t>
        </m:r>
        <m:r>
          <m:t>n</m:t>
        </m:r>
        <m:r>
          <m:t>n</m:t>
        </m:r>
        <m:r>
          <m:t>e</m:t>
        </m:r>
        <m:r>
          <m:t>d</m:t>
        </m:r>
        <m:r>
          <m:t>a</m:t>
        </m:r>
        <m:r>
          <m:t>n</m:t>
        </m:r>
        <m:r>
          <m:t>d</m:t>
        </m:r>
        <m:r>
          <m:t>u</m:t>
        </m:r>
        <m:r>
          <m:t>p</m:t>
        </m:r>
        <m:r>
          <m:t>d</m:t>
        </m:r>
        <m:r>
          <m:t>a</m:t>
        </m:r>
        <m:r>
          <m:t>t</m:t>
        </m:r>
        <m:r>
          <m:t>e</m:t>
        </m:r>
        <m:r>
          <m:t>d</m:t>
        </m:r>
        <m:r>
          <m:t>f</m:t>
        </m:r>
        <m:r>
          <m:t>u</m:t>
        </m:r>
        <m:r>
          <m:t>l</m:t>
        </m:r>
        <m:r>
          <m:t>l</m:t>
        </m:r>
        <m:r>
          <m:rPr>
            <m:sty m:val="p"/>
          </m:rPr>
          <m:t>−</m:t>
        </m:r>
        <m:r>
          <m:t>y</m:t>
        </m:r>
        <m:r>
          <m:t>e</m:t>
        </m:r>
        <m:r>
          <m:t>a</m:t>
        </m:r>
        <m:r>
          <m:t>r</m:t>
        </m:r>
        <m:r>
          <m:t>s</m:t>
        </m:r>
        <m:r>
          <m:t>c</m:t>
        </m:r>
        <m:r>
          <m:t>o</m:t>
        </m:r>
        <m:r>
          <m:t>p</m:t>
        </m:r>
        <m:r>
          <m:t>e</m:t>
        </m:r>
        <m:r>
          <m:rPr>
            <m:sty m:val="p"/>
          </m:rPr>
          <m:t>/</m:t>
        </m:r>
        <m:r>
          <m:t>E</m:t>
        </m:r>
        <m:r>
          <m:t>B</m:t>
        </m:r>
        <m:r>
          <m:t>I</m:t>
        </m:r>
        <m:r>
          <m:t>T</m:t>
        </m:r>
        <m:r>
          <m:t>D</m:t>
        </m:r>
        <m:r>
          <m:t>A</m:t>
        </m:r>
        <m:r>
          <m:t>c</m:t>
        </m:r>
        <m:r>
          <m:t>o</m:t>
        </m:r>
        <m:r>
          <m:t>n</m:t>
        </m:r>
        <m:r>
          <m:t>t</m:t>
        </m:r>
        <m:r>
          <m:t>r</m:t>
        </m:r>
        <m:r>
          <m:t>i</m:t>
        </m:r>
        <m:r>
          <m:t>b</m:t>
        </m:r>
        <m:r>
          <m:t>u</m:t>
        </m:r>
        <m:r>
          <m:t>t</m:t>
        </m:r>
        <m:r>
          <m:t>i</m:t>
        </m:r>
        <m:r>
          <m:t>o</m:t>
        </m:r>
        <m:r>
          <m:t>n</m:t>
        </m:r>
        <m:r>
          <m:t>m</m:t>
        </m:r>
        <m:r>
          <m:t>a</m:t>
        </m:r>
        <m:r>
          <m:t>t</m:t>
        </m:r>
        <m:r>
          <m:t>h</m:t>
        </m:r>
        <m:r>
          <m:rPr>
            <m:sty m:val="p"/>
          </m:rPr>
          <m:t>(</m:t>
        </m:r>
        <m:r>
          <m:t>m</m:t>
        </m:r>
        <m:r>
          <m:t>a</m:t>
        </m:r>
        <m:r>
          <m:t>n</m:t>
        </m:r>
        <m:r>
          <m:t>a</m:t>
        </m:r>
        <m:r>
          <m:t>g</m:t>
        </m:r>
        <m:r>
          <m:t>e</m:t>
        </m:r>
        <m:r>
          <m:t>m</m:t>
        </m:r>
        <m:r>
          <m:t>e</m:t>
        </m:r>
        <m:r>
          <m:t>n</m:t>
        </m:r>
        <m:r>
          <m:t>t</m:t>
        </m:r>
        <m:r>
          <m:t>h</m:t>
        </m:r>
        <m:r>
          <m:t>a</m:t>
        </m:r>
        <m:r>
          <m:t>d</m:t>
        </m:r>
        <m:r>
          <m:t>g</m:t>
        </m:r>
        <m:r>
          <m:t>u</m:t>
        </m:r>
        <m:r>
          <m:t>i</m:t>
        </m:r>
        <m:r>
          <m:t>d</m:t>
        </m:r>
        <m:r>
          <m:t>e</m:t>
        </m:r>
        <m:r>
          <m:t>d</m:t>
        </m:r>
        <m:r>
          <m:t>t</m:t>
        </m:r>
        <m:r>
          <m:t>o</m:t>
        </m:r>
        <m:r>
          <m:t> </m:t>
        </m:r>
      </m:oMath>
      <w:r>
        <w:t xml:space="preserve">200 million of net incremental EBITDA from the year-to-date portfolio actions).</w:t>
      </w:r>
    </w:p>
    <w:p>
      <w:pPr>
        <w:pStyle w:val="Compact"/>
        <w:numPr>
          <w:ilvl w:val="0"/>
          <w:numId w:val="1003"/>
        </w:numPr>
      </w:pPr>
      <w:r>
        <w:t xml:space="preserve">CRH's water infrastructure buildout remains a major growth pillar given the country's aging water systems and CRH's cross-selling advantage (management noted at Q1 that over 80% of products in its water business consume CRH aggregates/cementitious materials).</w:t>
      </w:r>
    </w:p>
    <w:bookmarkEnd w:id="12"/>
    <w:bookmarkStart w:id="13" w:name="X8bf8bcb6e6a95340d52e6e250d8cbb9d8e0f5e1"/>
    <w:p>
      <w:pPr>
        <w:pStyle w:val="Heading2"/>
      </w:pPr>
      <w:r>
        <w:t xml:space="preserve">5. What Q1 Told Us — And What to Watch For Continuation</w:t>
      </w:r>
    </w:p>
    <w:p>
      <w:pPr>
        <w:pStyle w:val="FirstParagraph"/>
      </w:pPr>
      <w:r>
        <w:t xml:space="preserve">Q1 2026 was strong: total revenues of $7.4 billion were up 9% year-over-year, adjusted EBITDA of $586 million rose 18%, and margin expanded 70bps to 8.0%. Segment highlights included Americas Materials Solutions revenue up 21% (aggregates volumes +14%, mix-adjusted pricing +5%; cement volumes +10%), and International Solutions EBITDA up 32% with 130bps of margin expansion. Management reaffirmed full-year guidance of</w:t>
      </w:r>
      <w:r>
        <w:t xml:space="preserve"> </w:t>
      </w:r>
      <m:oMath>
        <m:r>
          <m:t>8.1</m:t>
        </m:r>
        <m:r>
          <m:rPr>
            <m:sty m:val="p"/>
          </m:rPr>
          <m:t>–</m:t>
        </m:r>
      </m:oMath>
      <w:r>
        <w:t xml:space="preserve">8.5 billion adjusted EBITDA,</w:t>
      </w:r>
      <w:r>
        <w:t xml:space="preserve"> </w:t>
      </w:r>
      <m:oMath>
        <m:r>
          <m:t>3.9</m:t>
        </m:r>
        <m:r>
          <m:rPr>
            <m:sty m:val="p"/>
          </m:rPr>
          <m:t>–</m:t>
        </m:r>
      </m:oMath>
      <w:r>
        <w:t xml:space="preserve">4.1 billion net income, and</w:t>
      </w:r>
      <w:r>
        <w:t xml:space="preserve"> </w:t>
      </w:r>
      <m:oMath>
        <m:r>
          <m:t>5.60</m:t>
        </m:r>
        <m:r>
          <m:rPr>
            <m:sty m:val="p"/>
          </m:rPr>
          <m:t>–</m:t>
        </m:r>
      </m:oMath>
      <w:r>
        <w:t xml:space="preserve">6.05 diluted EPS, alongside</w:t>
      </w:r>
      <w:r>
        <w:t xml:space="preserve"> </w:t>
      </w:r>
      <m:oMath>
        <m:r>
          <m:t>2.8</m:t>
        </m:r>
        <m:r>
          <m:rPr>
            <m:sty m:val="p"/>
          </m:rPr>
          <m:t>–</m:t>
        </m:r>
      </m:oMath>
      <w:r>
        <w:t xml:space="preserve">3.0 billion of capex — all assuming normal seasonal weather and no major macro dislocations.</w:t>
      </w:r>
    </w:p>
    <w:p>
      <w:pPr>
        <w:pStyle w:val="BodyText"/>
      </w:pPr>
      <w:r>
        <w:t xml:space="preserve">Heading into Q2, watch for:</w:t>
      </w:r>
    </w:p>
    <w:p>
      <w:pPr>
        <w:pStyle w:val="Compact"/>
        <w:numPr>
          <w:ilvl w:val="0"/>
          <w:numId w:val="1004"/>
        </w:numPr>
      </w:pPr>
      <w:r>
        <w:rPr>
          <w:b/>
          <w:bCs/>
        </w:rPr>
        <w:t xml:space="preserve">Guidance trajectory:</w:t>
      </w:r>
      <w:r>
        <w:t xml:space="preserve"> </w:t>
      </w:r>
      <w:r>
        <w:t xml:space="preserve">Does CRH reaffirm, narrow, or raise full-year EBITDA guidance given the strong Q1 start and Q2 being a peak season quarter? Historically CRH has often nudged guidance up mid-year on strong pricing/backlog visibility.</w:t>
      </w:r>
    </w:p>
    <w:p>
      <w:pPr>
        <w:pStyle w:val="Compact"/>
        <w:numPr>
          <w:ilvl w:val="0"/>
          <w:numId w:val="1004"/>
        </w:numPr>
      </w:pPr>
      <w:r>
        <w:rPr>
          <w:b/>
          <w:bCs/>
        </w:rPr>
        <w:t xml:space="preserve">Pricing vs. volume mix:</w:t>
      </w:r>
      <w:r>
        <w:t xml:space="preserve"> </w:t>
      </w:r>
      <w:r>
        <w:t xml:space="preserve">Q1 showed aggregates pricing on a mix-adjusted basis up 5% (the metric management said was most representative), with headline pricing actually down 1% due to geography/project mix. Watch whether mix-adjusted pricing momentum held into Q2's peak paving season.</w:t>
      </w:r>
    </w:p>
    <w:p>
      <w:pPr>
        <w:pStyle w:val="Compact"/>
        <w:numPr>
          <w:ilvl w:val="0"/>
          <w:numId w:val="1004"/>
        </w:numPr>
      </w:pPr>
      <w:r>
        <w:rPr>
          <w:b/>
          <w:bCs/>
        </w:rPr>
        <w:t xml:space="preserve">Weather/cost drag:</w:t>
      </w:r>
      <w:r>
        <w:t xml:space="preserve"> </w:t>
      </w:r>
      <w:r>
        <w:t xml:space="preserve">Peer Vulcan Materials, which reported Q2 results the day before CRH, flagged that aggregates shipments in Texas and certain southeastern markets were impacted by heavy rainfall in the May-June period, while its non-aggregates segment was affected by higher asphalt costs and lower shipments due to weather — a useful read-through given overlapping U.S. geographic footprints. Vulcan otherwise beat Wall Street expectations for second-quarter profit, with total revenue up about 3% to $2.16 billion and adjusted profit of $2.59 per share versus $2.45 a year ago, and reiterated its full-year EBITDA guidance.</w:t>
      </w:r>
    </w:p>
    <w:p>
      <w:pPr>
        <w:pStyle w:val="Compact"/>
        <w:numPr>
          <w:ilvl w:val="0"/>
          <w:numId w:val="1004"/>
        </w:numPr>
      </w:pPr>
      <w:r>
        <w:rPr>
          <w:b/>
          <w:bCs/>
        </w:rPr>
        <w:t xml:space="preserve">Energy/input cost inflation:</w:t>
      </w:r>
      <w:r>
        <w:t xml:space="preserve"> </w:t>
      </w:r>
      <w:r>
        <w:t xml:space="preserve">CRH flagged at Q1 that energy is roughly 5% of total annual revenue and is hedged on a rolling 9-month basis, giving good near-term visibility; but broader cost inflation (labor, raw materials, maintenance, subcontractors) was guided at "mid-single-digit" for 2026. Given the recent spike in oil prices tied to Middle East tensions, investors should listen for commentary on whether hedges are holding and whether targeted mid-year price increases (which management said they'd already begun in April) are sufficient to protect margins.</w:t>
      </w:r>
    </w:p>
    <w:p>
      <w:pPr>
        <w:pStyle w:val="Compact"/>
        <w:numPr>
          <w:ilvl w:val="0"/>
          <w:numId w:val="1004"/>
        </w:numPr>
      </w:pPr>
      <w:r>
        <w:rPr>
          <w:b/>
          <w:bCs/>
        </w:rPr>
        <w:t xml:space="preserve">Highway funding/IIJA reauthorization:</w:t>
      </w:r>
      <w:r>
        <w:t xml:space="preserve"> </w:t>
      </w:r>
      <w:r>
        <w:t xml:space="preserve">Management was optimistic at Q1 that a multiyear highway bill reauthorization could pass in H2 2026, with roughly half of IIJA highway funds still undeployed and 2026 state DOT budgets up 6%. Any update on legislative progress (or risk of a continuing resolution) will be a focus, particularly with peer Martin Marietta also actively building scale (Martin Marietta separately secured a $1.5 billion loan in mid-July to fund its Lhoist acquisition, underscoring sector-wide consolidation).</w:t>
      </w:r>
    </w:p>
    <w:p>
      <w:pPr>
        <w:pStyle w:val="Compact"/>
        <w:numPr>
          <w:ilvl w:val="0"/>
          <w:numId w:val="1004"/>
        </w:numPr>
      </w:pPr>
      <w:r>
        <w:rPr>
          <w:b/>
          <w:bCs/>
        </w:rPr>
        <w:t xml:space="preserve">Residential softness:</w:t>
      </w:r>
      <w:r>
        <w:t xml:space="preserve"> </w:t>
      </w:r>
      <w:r>
        <w:t xml:space="preserve">Persistent weakness in new-build residential (Americas Building Solutions, particularly Outdoor Living Solutions) was a Q1 drag; repair-and-remodel demand was described as resilient. Consensus embeds a further ~7% revenue decline for this segment in Q2 — watch for signs of stabilization or further erosion.</w:t>
      </w:r>
    </w:p>
    <w:bookmarkEnd w:id="13"/>
    <w:bookmarkStart w:id="14" w:name="X6b57a9474e689afef905c83966e2aa07e7bc194"/>
    <w:p>
      <w:pPr>
        <w:pStyle w:val="Heading2"/>
      </w:pPr>
      <w:r>
        <w:t xml:space="preserve">6. Valuation &amp; Sentiment Backdrop</w:t>
      </w:r>
    </w:p>
    <w:p>
      <w:pPr>
        <w:pStyle w:val="FirstParagraph"/>
      </w:pPr>
      <w:r>
        <w:t xml:space="preserve">Despite the pullback, sentiment among sell-side analysts remains broadly constructive: analysts remain bullish on CRH, with the stock earning a consensus "Strong Buy" rating, and post-Arcosa-announcement commentary nudged price targets modestly higher (from $142.66 to $142.95, reflecting slightly different assumptions around discount rate, revenue growth, profit margin and future P/E). However, the stock's ~20% YTD decline versus a resilient guidance framework suggests the market is discounting either macro risk (tariffs, energy costs, geopolitics), integration/leverage risk from the debt-funded Arcosa deal, or broader multiple compression across industrials/materials — Lennox International's severe guidance cut this week (unrelated end-market but a reminder that building-products demand assumptions are being tested across the sector) adds to a cautious tape for the group heading into results.</w:t>
      </w:r>
    </w:p>
    <w:bookmarkEnd w:id="14"/>
    <w:bookmarkStart w:id="15" w:name="X58405cfeb236528800c384489c48fd77eb7236a"/>
    <w:p>
      <w:pPr>
        <w:pStyle w:val="Heading2"/>
      </w:pPr>
      <w:r>
        <w:t xml:space="preserve">7. Bottom Line for Investors</w:t>
      </w:r>
    </w:p>
    <w:p>
      <w:pPr>
        <w:pStyle w:val="FirstParagraph"/>
      </w:pPr>
      <w:r>
        <w:t xml:space="preserve">This is likely to be a</w:t>
      </w:r>
      <w:r>
        <w:t xml:space="preserve"> </w:t>
      </w:r>
      <w:r>
        <w:rPr>
          <w:b/>
          <w:bCs/>
        </w:rPr>
        <w:t xml:space="preserve">two-story earnings call</w:t>
      </w:r>
      <w:r>
        <w:t xml:space="preserve">: (1) the underlying Q2 operating print — where consensus calls for modest EPS growth (+1%) and mid-single-digit revenue growth (+5%), continued margin expansion, and reaffirmed-to-raised full-year guidance; and (2) the strategic narrative around</w:t>
      </w:r>
      <w:r>
        <w:t xml:space="preserve"> </w:t>
      </w:r>
      <w:r>
        <w:rPr>
          <w:b/>
          <w:bCs/>
        </w:rPr>
        <w:t xml:space="preserve">Arcosa</w:t>
      </w:r>
      <w:r>
        <w:t xml:space="preserve">, CRH's largest-ever deal, including financing plans, leverage trajectory, credit-rating commitments, buyback cadence, and integration timeline ahead of the targeted Q1 2027 close. Investors should weigh strong fundamental momentum (backlogs, pricing, infrastructure funding tailwinds) against a more leveraged, acquisitive balance sheet and a stock price that has meaningfully lagged the story so far in 2026.</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2026-07-29T17:54:07Z</dcterms:created>
  <dcterms:modified xsi:type="dcterms:W3CDTF">2026-07-29T17:54:07Z</dcterms:modified>
</cp:coreProperties>
</file>

<file path=docProps/custom.xml><?xml version="1.0" encoding="utf-8"?>
<Properties xmlns="http://schemas.openxmlformats.org/officeDocument/2006/custom-properties" xmlns:vt="http://schemas.openxmlformats.org/officeDocument/2006/docPropsVTypes"/>
</file>