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rh-earnings-predictions--2026-07-30"/>
    <w:p>
      <w:pPr>
        <w:pStyle w:val="Heading1"/>
      </w:pPr>
      <w:r>
        <w:t xml:space="preserve">CRH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~$10.82bn vs. cons $10.70bn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~$2.65bn vs. cons $2.60bn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~24.5% vs. cons 24.3%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~$8.35bn midpoint vs. cons $8.30bn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~$5.88 midpoint vs. cons $5.96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 forma net debt to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~2.4x vs. cons 2.4x (pro forma FY2026, post-Arcosa)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+0.9% (FADE)</w:t>
            </w:r>
          </w:p>
        </w:tc>
        <w:tc>
          <w:tcPr/>
          <w:p>
            <w:pPr>
              <w:pStyle w:val="Compact"/>
            </w:pPr>
            <w:r>
              <w:t xml:space="preserve">A modest operating beat and slightly improved FY2026 EBITDA midpoint support the initial reaction, but the implied EPS guide of ~$5.88 versus consensus $5.96, Arcosa financing costs and unchanged ~2.4x pro forma leverage limit upward revisions and cause part of the day-1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2026-07-29T17:56:25Z</dcterms:created>
  <dcterms:modified xsi:type="dcterms:W3CDTF">2026-07-29T17:56:25Z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