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crh-q2-2026-earnings-preview"/>
    <w:p>
      <w:pPr>
        <w:pStyle w:val="Heading1"/>
      </w:pPr>
      <w:r>
        <w:t xml:space="preserve">CRH Q2 2026 Earnings Preview</w:t>
      </w:r>
    </w:p>
    <w:p>
      <w:pPr>
        <w:pStyle w:val="FirstParagraph"/>
      </w:pPr>
      <w:r>
        <w:rPr>
          <w:b/>
          <w:bCs/>
        </w:rPr>
        <w:t xml:space="preserve">Report:</w:t>
      </w:r>
      <w:r>
        <w:t xml:space="preserve"> </w:t>
      </w:r>
      <w:r>
        <w:t xml:space="preserve">Thursday, July 30, 2026, before the U.S. market opens</w:t>
      </w:r>
      <w:r>
        <w:br/>
      </w:r>
      <w:r>
        <w:rPr>
          <w:b/>
          <w:bCs/>
        </w:rPr>
        <w:t xml:space="preserve">Conference call:</w:t>
      </w:r>
      <w:r>
        <w:t xml:space="preserve"> </w:t>
      </w:r>
      <w:r>
        <w:t xml:space="preserve">8:00 a.m. ET (</w:t>
      </w:r>
      <w:hyperlink r:id="rId9">
        <w:r>
          <w:rPr>
            <w:rStyle w:val="Hyperlink"/>
          </w:rPr>
          <w:t xml:space="preserve">crh.com</w:t>
        </w:r>
      </w:hyperlink>
      <w:r>
        <w:t xml:space="preserve">)</w:t>
      </w:r>
    </w:p>
    <w:bookmarkStart w:id="11" w:name="investment-view-going-into-the-print"/>
    <w:p>
      <w:pPr>
        <w:pStyle w:val="Heading2"/>
      </w:pPr>
      <w:r>
        <w:t xml:space="preserve">Investment view going into the print</w:t>
      </w:r>
    </w:p>
    <w:p>
      <w:pPr>
        <w:pStyle w:val="FirstParagraph"/>
      </w:pPr>
      <w:r>
        <w:t xml:space="preserve">CRH enters Q2 with</w:t>
      </w:r>
      <w:r>
        <w:t xml:space="preserve"> </w:t>
      </w:r>
      <w:r>
        <w:rPr>
          <w:b/>
          <w:bCs/>
        </w:rPr>
        <w:t xml:space="preserve">strong operating momentum but a more complicated investment debate</w:t>
      </w:r>
      <w:r>
        <w:t xml:space="preserve"> </w:t>
      </w:r>
      <w:r>
        <w:t xml:space="preserve">than it had three months ago.</w:t>
      </w:r>
    </w:p>
    <w:p>
      <w:pPr>
        <w:pStyle w:val="BodyText"/>
      </w:pPr>
      <w:r>
        <w:t xml:space="preserve">The underlying business performed well in Q1: revenue increased 9%, adjusted EBITDA rose 18%, and adjusted EBITDA margin expanded 70 basis points. The central question for Q2 is whether that momentum carried into the main construction season despite higher energy and transportation costs. (</w:t>
      </w:r>
      <w:hyperlink r:id="rId10">
        <w:r>
          <w:rPr>
            <w:rStyle w:val="Hyperlink"/>
          </w:rPr>
          <w:t xml:space="preserve">crh.com</w:t>
        </w:r>
      </w:hyperlink>
      <w:r>
        <w:t xml:space="preserve">)</w:t>
      </w:r>
    </w:p>
    <w:p>
      <w:pPr>
        <w:pStyle w:val="BodyText"/>
      </w:pPr>
      <w:r>
        <w:t xml:space="preserve">At the same time, the proposed</w:t>
      </w:r>
      <w:r>
        <w:t xml:space="preserve"> </w:t>
      </w:r>
      <m:oMath>
        <m:r>
          <m:t>8.5</m:t>
        </m:r>
        <m:r>
          <m:t>b</m:t>
        </m:r>
        <m:r>
          <m:t>i</m:t>
        </m:r>
        <m:r>
          <m:t>l</m:t>
        </m:r>
        <m:r>
          <m:t>l</m:t>
        </m:r>
        <m:r>
          <m:t>i</m:t>
        </m:r>
        <m:r>
          <m:t>o</m:t>
        </m:r>
        <m:r>
          <m:t>n</m:t>
        </m:r>
        <m:r>
          <m:t>a</m:t>
        </m:r>
        <m:r>
          <m:t>c</m:t>
        </m:r>
        <m:r>
          <m:t>q</m:t>
        </m:r>
        <m:r>
          <m:t>u</m:t>
        </m:r>
        <m:r>
          <m:t>i</m:t>
        </m:r>
        <m:r>
          <m:t>s</m:t>
        </m:r>
        <m:r>
          <m:t>i</m:t>
        </m:r>
        <m:r>
          <m:t>t</m:t>
        </m:r>
        <m:r>
          <m:t>i</m:t>
        </m:r>
        <m:r>
          <m:t>o</m:t>
        </m:r>
        <m:r>
          <m:t>n</m:t>
        </m:r>
        <m:r>
          <m:t>o</m:t>
        </m:r>
        <m:r>
          <m:t>f</m:t>
        </m:r>
        <m:r>
          <m:t>A</m:t>
        </m:r>
        <m:r>
          <m:t>r</m:t>
        </m:r>
        <m:r>
          <m:t>c</m:t>
        </m:r>
        <m:r>
          <m:t>o</m:t>
        </m:r>
        <m:r>
          <m:t>s</m:t>
        </m:r>
        <m:r>
          <m:t>a</m:t>
        </m:r>
        <m:r>
          <m:rPr>
            <m:sty m:val="p"/>
          </m:rPr>
          <m:t>*</m:t>
        </m:r>
        <m:r>
          <m:rPr>
            <m:sty m:val="p"/>
          </m:rPr>
          <m:t>*</m:t>
        </m:r>
        <m:r>
          <m:t>h</m:t>
        </m:r>
        <m:r>
          <m:t>a</m:t>
        </m:r>
        <m:r>
          <m:t>s</m:t>
        </m:r>
        <m:r>
          <m:t>s</m:t>
        </m:r>
        <m:r>
          <m:t>h</m:t>
        </m:r>
        <m:r>
          <m:t>i</m:t>
        </m:r>
        <m:r>
          <m:t>f</m:t>
        </m:r>
        <m:r>
          <m:t>t</m:t>
        </m:r>
        <m:r>
          <m:t>e</m:t>
        </m:r>
        <m:r>
          <m:t>d</m:t>
        </m:r>
        <m:r>
          <m:t>i</m:t>
        </m:r>
        <m:r>
          <m:t>n</m:t>
        </m:r>
        <m:r>
          <m:t>v</m:t>
        </m:r>
        <m:r>
          <m:t>e</m:t>
        </m:r>
        <m:r>
          <m:t>s</m:t>
        </m:r>
        <m:r>
          <m:t>t</m:t>
        </m:r>
        <m:r>
          <m:t>o</m:t>
        </m:r>
        <m:r>
          <m:t>r</m:t>
        </m:r>
        <m:r>
          <m:t>a</m:t>
        </m:r>
        <m:r>
          <m:t>t</m:t>
        </m:r>
        <m:r>
          <m:t>t</m:t>
        </m:r>
        <m:r>
          <m:t>e</m:t>
        </m:r>
        <m:r>
          <m:t>n</m:t>
        </m:r>
        <m:r>
          <m:t>t</m:t>
        </m:r>
        <m:r>
          <m:t>i</m:t>
        </m:r>
        <m:r>
          <m:t>o</m:t>
        </m:r>
        <m:r>
          <m:t>n</m:t>
        </m:r>
        <m:r>
          <m:t>t</m:t>
        </m:r>
        <m:r>
          <m:t>o</m:t>
        </m:r>
        <m:r>
          <m:t>w</m:t>
        </m:r>
        <m:r>
          <m:t>a</m:t>
        </m:r>
        <m:r>
          <m:t>r</m:t>
        </m:r>
        <m:r>
          <m:t>d</m:t>
        </m:r>
        <m:r>
          <m:t>l</m:t>
        </m:r>
        <m:r>
          <m:t>e</m:t>
        </m:r>
        <m:r>
          <m:t>v</m:t>
        </m:r>
        <m:r>
          <m:t>e</m:t>
        </m:r>
        <m:r>
          <m:t>r</m:t>
        </m:r>
        <m:r>
          <m:t>a</m:t>
        </m:r>
        <m:r>
          <m:t>g</m:t>
        </m:r>
        <m:r>
          <m:t>e</m:t>
        </m:r>
        <m:r>
          <m:rPr>
            <m:sty m:val="p"/>
          </m:rPr>
          <m:t>,</m:t>
        </m:r>
        <m:r>
          <m:t>f</m:t>
        </m:r>
        <m:r>
          <m:t>i</m:t>
        </m:r>
        <m:r>
          <m:t>n</m:t>
        </m:r>
        <m:r>
          <m:t>a</m:t>
        </m:r>
        <m:r>
          <m:t>n</m:t>
        </m:r>
        <m:r>
          <m:t>c</m:t>
        </m:r>
        <m:r>
          <m:t>i</m:t>
        </m:r>
        <m:r>
          <m:t>n</m:t>
        </m:r>
        <m:r>
          <m:t>g</m:t>
        </m:r>
        <m:r>
          <m:t>a</m:t>
        </m:r>
        <m:r>
          <m:t>n</m:t>
        </m:r>
        <m:r>
          <m:t>d</m:t>
        </m:r>
        <m:r>
          <m:t>i</m:t>
        </m:r>
        <m:r>
          <m:t>n</m:t>
        </m:r>
        <m:r>
          <m:t>t</m:t>
        </m:r>
        <m:r>
          <m:t>e</m:t>
        </m:r>
        <m:r>
          <m:t>g</m:t>
        </m:r>
        <m:r>
          <m:t>r</m:t>
        </m:r>
        <m:r>
          <m:t>a</m:t>
        </m:r>
        <m:r>
          <m:t>t</m:t>
        </m:r>
        <m:r>
          <m:t>i</m:t>
        </m:r>
        <m:r>
          <m:t>o</m:t>
        </m:r>
        <m:r>
          <m:t>n</m:t>
        </m:r>
        <m:r>
          <m:t>r</m:t>
        </m:r>
        <m:r>
          <m:t>i</m:t>
        </m:r>
        <m:r>
          <m:t>s</m:t>
        </m:r>
        <m:r>
          <m:t>k</m:t>
        </m:r>
        <m:r>
          <m:rPr>
            <m:sty m:val="p"/>
          </m:rPr>
          <m:t>.</m:t>
        </m:r>
        <m:r>
          <m:t>C</m:t>
        </m:r>
        <m:r>
          <m:t>R</m:t>
        </m:r>
        <m:r>
          <m:t>H</m:t>
        </m:r>
        <m:r>
          <m:t>s</m:t>
        </m:r>
        <m:r>
          <m:t>h</m:t>
        </m:r>
        <m:r>
          <m:t>a</m:t>
        </m:r>
        <m:r>
          <m:t>r</m:t>
        </m:r>
        <m:r>
          <m:t>e</m:t>
        </m:r>
        <m:r>
          <m:t>s</m:t>
        </m:r>
        <m:r>
          <m:t>c</m:t>
        </m:r>
        <m:r>
          <m:t>l</m:t>
        </m:r>
        <m:r>
          <m:t>o</m:t>
        </m:r>
        <m:r>
          <m:t>s</m:t>
        </m:r>
        <m:r>
          <m:t>e</m:t>
        </m:r>
        <m:r>
          <m:t>d</m:t>
        </m:r>
        <m:r>
          <m:t>a</m:t>
        </m:r>
        <m:r>
          <m:t>t</m:t>
        </m:r>
        <m:r>
          <m:t>a</m:t>
        </m:r>
        <m:r>
          <m:t>p</m:t>
        </m:r>
        <m:r>
          <m:t>p</m:t>
        </m:r>
        <m:r>
          <m:t>r</m:t>
        </m:r>
        <m:r>
          <m:t>o</m:t>
        </m:r>
        <m:r>
          <m:t>x</m:t>
        </m:r>
        <m:r>
          <m:t>i</m:t>
        </m:r>
        <m:r>
          <m:t>m</m:t>
        </m:r>
        <m:r>
          <m:t>a</m:t>
        </m:r>
        <m:r>
          <m:t>t</m:t>
        </m:r>
        <m:r>
          <m:t>e</m:t>
        </m:r>
        <m:r>
          <m:t>l</m:t>
        </m:r>
        <m:r>
          <m:t>y</m:t>
        </m:r>
        <m:r>
          <m:rPr>
            <m:sty m:val="p"/>
          </m:rPr>
          <m:t>*</m:t>
        </m:r>
        <m:r>
          <m:rPr>
            <m:sty m:val="p"/>
          </m:rPr>
          <m:t>*</m:t>
        </m:r>
      </m:oMath>
      <w:r>
        <w:rPr>
          <w:b/>
          <w:bCs/>
        </w:rPr>
        <w:t xml:space="preserve">100.32 on July 29</w:t>
      </w:r>
      <w:r>
        <w:t xml:space="preserve">, down about</w:t>
      </w:r>
      <w:r>
        <w:t xml:space="preserve"> </w:t>
      </w:r>
      <w:r>
        <w:rPr>
          <w:b/>
          <w:bCs/>
        </w:rPr>
        <w:t xml:space="preserve">21% year to date</w:t>
      </w:r>
      <w:r>
        <w:t xml:space="preserve"> </w:t>
      </w:r>
      <w:r>
        <w:t xml:space="preserve">and 15% since the Q1 report. Expectations appear more restrained, but CRH probably needs both a clean quarter and a reassuring capital-allocation message to generate a favorable reaction.</w:t>
      </w:r>
    </w:p>
    <w:bookmarkEnd w:id="11"/>
    <w:bookmarkStart w:id="13" w:name="what-the-market-expects"/>
    <w:p>
      <w:pPr>
        <w:pStyle w:val="Heading2"/>
      </w:pPr>
      <w:r>
        <w:t xml:space="preserve">What the market expects</w:t>
      </w:r>
    </w:p>
    <w:p>
      <w:pPr>
        <w:pStyle w:val="FirstParagraph"/>
      </w:pPr>
      <w:r>
        <w:t xml:space="preserve">Published estimates vary slightly by provider, but the consensus is approximately: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Q2 2026 metric</w:t>
            </w:r>
          </w:p>
        </w:tc>
        <w:tc>
          <w:tcPr/>
          <w:p>
            <w:pPr>
              <w:pStyle w:val="Compact"/>
              <w:jc w:val="right"/>
            </w:pPr>
            <w:r>
              <w:t xml:space="preserve">Consensus</w:t>
            </w:r>
          </w:p>
        </w:tc>
        <w:tc>
          <w:tcPr/>
          <w:p>
            <w:pPr>
              <w:pStyle w:val="Compact"/>
              <w:jc w:val="right"/>
            </w:pPr>
            <w:r>
              <w:t xml:space="preserve">Q2 2025</w:t>
            </w:r>
          </w:p>
        </w:tc>
        <w:tc>
          <w:tcPr/>
          <w:p>
            <w:pPr>
              <w:pStyle w:val="Compact"/>
              <w:jc w:val="right"/>
            </w:pPr>
            <w:r>
              <w:t xml:space="preserve">Implied growth</w:t>
            </w:r>
          </w:p>
        </w:tc>
      </w:tr>
      <w:tr>
        <w:tc>
          <w:tcPr/>
          <w:p>
            <w:pPr>
              <w:pStyle w:val="Compact"/>
            </w:pPr>
            <w:r>
              <w:t xml:space="preserve">Revenue</w:t>
            </w:r>
          </w:p>
        </w:tc>
        <w:tc>
          <w:tcPr/>
          <w:p>
            <w:pPr>
              <w:pStyle w:val="Compact"/>
              <w:jc w:val="right"/>
            </w:pPr>
            <w:r>
              <w:rPr>
                <w:b/>
                <w:bCs/>
              </w:rPr>
              <w:t xml:space="preserve">$10.7bn</w:t>
            </w:r>
          </w:p>
        </w:tc>
        <w:tc>
          <w:tcPr/>
          <w:p>
            <w:pPr>
              <w:pStyle w:val="Compact"/>
              <w:jc w:val="right"/>
            </w:pPr>
            <w:r>
              <w:t xml:space="preserve">$10.21bn</w:t>
            </w:r>
          </w:p>
        </w:tc>
        <w:tc>
          <w:tcPr/>
          <w:p>
            <w:pPr>
              <w:pStyle w:val="Compact"/>
              <w:jc w:val="right"/>
            </w:pPr>
            <w:r>
              <w:t xml:space="preserve">~5%</w:t>
            </w:r>
          </w:p>
        </w:tc>
      </w:tr>
      <w:tr>
        <w:tc>
          <w:tcPr/>
          <w:p>
            <w:pPr>
              <w:pStyle w:val="Compact"/>
            </w:pPr>
            <w:r>
              <w:t xml:space="preserve">Adjusted EBITDA</w:t>
            </w:r>
          </w:p>
        </w:tc>
        <w:tc>
          <w:tcPr/>
          <w:p>
            <w:pPr>
              <w:pStyle w:val="Compact"/>
              <w:jc w:val="right"/>
            </w:pPr>
            <w:r>
              <w:rPr>
                <w:b/>
                <w:bCs/>
              </w:rPr>
              <w:t xml:space="preserve">$2.6bn</w:t>
            </w:r>
          </w:p>
        </w:tc>
        <w:tc>
          <w:tcPr/>
          <w:p>
            <w:pPr>
              <w:pStyle w:val="Compact"/>
              <w:jc w:val="right"/>
            </w:pPr>
            <w:r>
              <w:t xml:space="preserve">$2.46bn</w:t>
            </w:r>
          </w:p>
        </w:tc>
        <w:tc>
          <w:tcPr/>
          <w:p>
            <w:pPr>
              <w:pStyle w:val="Compact"/>
              <w:jc w:val="right"/>
            </w:pPr>
            <w:r>
              <w:t xml:space="preserve">~6%</w:t>
            </w:r>
          </w:p>
        </w:tc>
      </w:tr>
      <w:tr>
        <w:tc>
          <w:tcPr/>
          <w:p>
            <w:pPr>
              <w:pStyle w:val="Compact"/>
            </w:pPr>
            <w:r>
              <w:t xml:space="preserve">Adjusted EBITDA margin</w:t>
            </w:r>
          </w:p>
        </w:tc>
        <w:tc>
          <w:tcPr/>
          <w:p>
            <w:pPr>
              <w:pStyle w:val="Compact"/>
              <w:jc w:val="right"/>
            </w:pPr>
            <w:r>
              <w:rPr>
                <w:b/>
                <w:bCs/>
              </w:rPr>
              <w:t xml:space="preserve">~24.3%</w:t>
            </w:r>
          </w:p>
        </w:tc>
        <w:tc>
          <w:tcPr/>
          <w:p>
            <w:pPr>
              <w:pStyle w:val="Compact"/>
              <w:jc w:val="right"/>
            </w:pPr>
            <w:r>
              <w:t xml:space="preserve">24.1%</w:t>
            </w:r>
          </w:p>
        </w:tc>
        <w:tc>
          <w:tcPr/>
          <w:p>
            <w:pPr>
              <w:pStyle w:val="Compact"/>
              <w:jc w:val="right"/>
            </w:pPr>
            <w:r>
              <w:t xml:space="preserve">~20 bps</w:t>
            </w:r>
          </w:p>
        </w:tc>
      </w:tr>
      <w:tr>
        <w:tc>
          <w:tcPr/>
          <w:p>
            <w:pPr>
              <w:pStyle w:val="Compact"/>
            </w:pPr>
            <w:r>
              <w:t xml:space="preserve">Diluted EPS</w:t>
            </w:r>
          </w:p>
        </w:tc>
        <w:tc>
          <w:tcPr/>
          <w:p>
            <w:pPr>
              <w:pStyle w:val="Compact"/>
              <w:jc w:val="right"/>
            </w:pPr>
            <m:oMath>
              <m:r>
                <m:t>2.02</m:t>
              </m:r>
              <m:r>
                <m:rPr>
                  <m:sty m:val="p"/>
                </m:rPr>
                <m:t>–</m:t>
              </m:r>
            </m:oMath>
            <w:r>
              <w:rPr>
                <w:b/>
                <w:bCs/>
              </w:rPr>
              <w:t xml:space="preserve">2.03</w:t>
            </w:r>
          </w:p>
        </w:tc>
        <w:tc>
          <w:tcPr/>
          <w:p>
            <w:pPr>
              <w:pStyle w:val="Compact"/>
              <w:jc w:val="right"/>
            </w:pPr>
            <w:r>
              <w:t xml:space="preserve">$1.94</w:t>
            </w:r>
          </w:p>
        </w:tc>
        <w:tc>
          <w:tcPr/>
          <w:p>
            <w:pPr>
              <w:pStyle w:val="Compact"/>
              <w:jc w:val="right"/>
            </w:pPr>
            <w:r>
              <w:t xml:space="preserve">~4%–5%</w:t>
            </w:r>
          </w:p>
        </w:tc>
      </w:tr>
    </w:tbl>
    <w:p>
      <w:pPr>
        <w:pStyle w:val="BodyText"/>
      </w:pPr>
      <w:r>
        <w:t xml:space="preserve">Consensus is based on a relatively small analyst sample, so it should be treated as directional rather than exact. (</w:t>
      </w:r>
      <w:hyperlink r:id="rId12">
        <w:r>
          <w:rPr>
            <w:rStyle w:val="Hyperlink"/>
          </w:rPr>
          <w:t xml:space="preserve">marketbeat.com</w:t>
        </w:r>
      </w:hyperlink>
      <w:r>
        <w:t xml:space="preserve">)</w:t>
      </w:r>
    </w:p>
    <w:p>
      <w:pPr>
        <w:pStyle w:val="BodyText"/>
      </w:pPr>
      <w:r>
        <w:t xml:space="preserve">The expectations are not especially aggressive. They imply that acquisition contributions and pricing continue to lift revenue, but that EBITDA margin expansion slows materially from Q1 as the mix shifts into the more seasonally significant quarter and inflationary costs become more visible.</w:t>
      </w:r>
    </w:p>
    <w:bookmarkEnd w:id="13"/>
    <w:bookmarkStart w:id="15" w:name="X0d2eee7208a2ab199d52e0a0322bedc1033dccb"/>
    <w:p>
      <w:pPr>
        <w:pStyle w:val="Heading2"/>
      </w:pPr>
      <w:r>
        <w:t xml:space="preserve">The most important operating question: volume and price in Americas Materials</w:t>
      </w:r>
    </w:p>
    <w:p>
      <w:pPr>
        <w:pStyle w:val="FirstParagraph"/>
      </w:pPr>
      <w:r>
        <w:t xml:space="preserve">Americas Materials Solutions is likely to determine whether the quarter is viewed as a beat or miss.</w:t>
      </w:r>
    </w:p>
    <w:p>
      <w:pPr>
        <w:pStyle w:val="BodyText"/>
      </w:pPr>
      <w:r>
        <w:t xml:space="preserve">Q1 was unusually strong for this seasonally small business:</w:t>
      </w:r>
    </w:p>
    <w:p>
      <w:pPr>
        <w:pStyle w:val="Compact"/>
        <w:numPr>
          <w:ilvl w:val="0"/>
          <w:numId w:val="1001"/>
        </w:numPr>
      </w:pPr>
      <w:r>
        <w:t xml:space="preserve">Aggregates volume increased</w:t>
      </w:r>
      <w:r>
        <w:t xml:space="preserve"> </w:t>
      </w:r>
      <w:r>
        <w:rPr>
          <w:b/>
          <w:bCs/>
        </w:rPr>
        <w:t xml:space="preserve">14%</w:t>
      </w:r>
      <w:r>
        <w:t xml:space="preserve">.</w:t>
      </w:r>
    </w:p>
    <w:p>
      <w:pPr>
        <w:pStyle w:val="Compact"/>
        <w:numPr>
          <w:ilvl w:val="0"/>
          <w:numId w:val="1001"/>
        </w:numPr>
      </w:pPr>
      <w:r>
        <w:t xml:space="preserve">Cement volume increased</w:t>
      </w:r>
      <w:r>
        <w:t xml:space="preserve"> </w:t>
      </w:r>
      <w:r>
        <w:rPr>
          <w:b/>
          <w:bCs/>
        </w:rPr>
        <w:t xml:space="preserve">10%</w:t>
      </w:r>
      <w:r>
        <w:t xml:space="preserve">.</w:t>
      </w:r>
    </w:p>
    <w:p>
      <w:pPr>
        <w:pStyle w:val="Compact"/>
        <w:numPr>
          <w:ilvl w:val="0"/>
          <w:numId w:val="1001"/>
        </w:numPr>
      </w:pPr>
      <w:r>
        <w:t xml:space="preserve">Reported aggregates pricing declined 1%, but</w:t>
      </w:r>
      <w:r>
        <w:t xml:space="preserve"> </w:t>
      </w:r>
      <w:r>
        <w:rPr>
          <w:b/>
          <w:bCs/>
        </w:rPr>
        <w:t xml:space="preserve">mix-adjusted pricing increased 5%</w:t>
      </w:r>
      <w:r>
        <w:t xml:space="preserve">.</w:t>
      </w:r>
    </w:p>
    <w:p>
      <w:pPr>
        <w:pStyle w:val="Compact"/>
        <w:numPr>
          <w:ilvl w:val="0"/>
          <w:numId w:val="1001"/>
        </w:numPr>
      </w:pPr>
      <w:r>
        <w:t xml:space="preserve">The segment’s revenue increased 21% and adjusted EBITDA rose 75%.</w:t>
      </w:r>
    </w:p>
    <w:p>
      <w:pPr>
        <w:pStyle w:val="FirstParagraph"/>
      </w:pPr>
      <w:r>
        <w:t xml:space="preserve">Management attributed the performance to early project activity, strong backlogs, acquisitions and commercial execution. It maintained expectations for full-year aggregates volume growth in the low single digits and mix-adjusted pricing growth in the mid-single digits.</w:t>
      </w:r>
    </w:p>
    <w:bookmarkStart w:id="14" w:name="what-investors-should-watch"/>
    <w:p>
      <w:pPr>
        <w:pStyle w:val="Heading3"/>
      </w:pPr>
      <w:r>
        <w:t xml:space="preserve">What investors should watch</w:t>
      </w:r>
    </w:p>
    <w:p>
      <w:pPr>
        <w:numPr>
          <w:ilvl w:val="0"/>
          <w:numId w:val="1002"/>
        </w:numPr>
      </w:pPr>
      <w:r>
        <w:rPr>
          <w:b/>
          <w:bCs/>
        </w:rPr>
        <w:t xml:space="preserve">Organic versus acquisition-driven growth.</w:t>
      </w:r>
      <w:r>
        <w:br/>
      </w:r>
      <w:r>
        <w:t xml:space="preserve">Q1 benefited heavily from acquisitions. A good Q2 should show that legacy businesses are also growing as transportation, data-center and manufacturing projects convert from backlog.</w:t>
      </w:r>
    </w:p>
    <w:p>
      <w:pPr>
        <w:numPr>
          <w:ilvl w:val="0"/>
          <w:numId w:val="1002"/>
        </w:numPr>
      </w:pPr>
      <w:r>
        <w:rPr>
          <w:b/>
          <w:bCs/>
        </w:rPr>
        <w:t xml:space="preserve">Aggregates pricing.</w:t>
      </w:r>
      <w:r>
        <w:br/>
      </w:r>
      <w:r>
        <w:t xml:space="preserve">Mid-single-digit mix-adjusted price growth would support the margin thesis. A weaker result could suggest that project and geographic mix—not pricing power—is driving reported growth.</w:t>
      </w:r>
    </w:p>
    <w:p>
      <w:pPr>
        <w:numPr>
          <w:ilvl w:val="0"/>
          <w:numId w:val="1002"/>
        </w:numPr>
      </w:pPr>
      <w:r>
        <w:rPr>
          <w:b/>
          <w:bCs/>
        </w:rPr>
        <w:t xml:space="preserve">Road activity.</w:t>
      </w:r>
      <w:r>
        <w:br/>
      </w:r>
      <w:r>
        <w:t xml:space="preserve">Asphalt and paving activity should benefit from the full construction season. Investors will want evidence that Q1’s strong start was not merely activity pulled forward.</w:t>
      </w:r>
    </w:p>
    <w:p>
      <w:pPr>
        <w:numPr>
          <w:ilvl w:val="0"/>
          <w:numId w:val="1002"/>
        </w:numPr>
      </w:pPr>
      <w:r>
        <w:rPr>
          <w:b/>
          <w:bCs/>
        </w:rPr>
        <w:t xml:space="preserve">Cement pricing.</w:t>
      </w:r>
      <w:r>
        <w:br/>
      </w:r>
      <w:r>
        <w:t xml:space="preserve">Q1 cement pricing declined 1% despite higher volume. Management guided to low-single-digit full-year price growth, making a return to positive pricing an important checkpoint.</w:t>
      </w:r>
    </w:p>
    <w:p>
      <w:pPr>
        <w:pStyle w:val="FirstParagraph"/>
      </w:pPr>
      <w:r>
        <w:t xml:space="preserve">CRH’s infrastructure exposure remains supportive: management said approximately half of the U.S. IIJA highway funding had yet to be deployed and 2026 state transportation budgets were up 6%. But the report needs to demonstrate that funding is translating into shipments and project execution, not simply larger bidding pipelines.</w:t>
      </w:r>
    </w:p>
    <w:bookmarkEnd w:id="14"/>
    <w:bookmarkEnd w:id="15"/>
    <w:bookmarkStart w:id="16" w:name="margin-execution-faces-a-tougher-test"/>
    <w:p>
      <w:pPr>
        <w:pStyle w:val="Heading2"/>
      </w:pPr>
      <w:r>
        <w:t xml:space="preserve">Margin execution faces a tougher test</w:t>
      </w:r>
    </w:p>
    <w:p>
      <w:pPr>
        <w:pStyle w:val="FirstParagraph"/>
      </w:pPr>
      <w:r>
        <w:t xml:space="preserve">CRH has produced sustained margin expansion through pricing, operating improvements, acquisitions and portfolio optimization. Q2 consensus, however, implies only about</w:t>
      </w:r>
      <w:r>
        <w:t xml:space="preserve"> </w:t>
      </w:r>
      <w:r>
        <w:rPr>
          <w:b/>
          <w:bCs/>
        </w:rPr>
        <w:t xml:space="preserve">20 basis points</w:t>
      </w:r>
      <w:r>
        <w:t xml:space="preserve"> </w:t>
      </w:r>
      <w:r>
        <w:t xml:space="preserve">of EBITDA margin expansion, compared with 70 basis points in both Q1 2026 and Q2 2025.</w:t>
      </w:r>
    </w:p>
    <w:p>
      <w:pPr>
        <w:pStyle w:val="BodyText"/>
      </w:pPr>
      <w:r>
        <w:t xml:space="preserve">The main pressure point is energy and transportation costs. On the Q1 call, management said:</w:t>
      </w:r>
    </w:p>
    <w:p>
      <w:pPr>
        <w:pStyle w:val="Compact"/>
        <w:numPr>
          <w:ilvl w:val="0"/>
          <w:numId w:val="1003"/>
        </w:numPr>
      </w:pPr>
      <w:r>
        <w:t xml:space="preserve">Energy represents approximately</w:t>
      </w:r>
      <w:r>
        <w:t xml:space="preserve"> </w:t>
      </w:r>
      <w:r>
        <w:rPr>
          <w:b/>
          <w:bCs/>
        </w:rPr>
        <w:t xml:space="preserve">5% of annual revenue</w:t>
      </w:r>
      <w:r>
        <w:t xml:space="preserve">.</w:t>
      </w:r>
    </w:p>
    <w:p>
      <w:pPr>
        <w:pStyle w:val="Compact"/>
        <w:numPr>
          <w:ilvl w:val="0"/>
          <w:numId w:val="1003"/>
        </w:numPr>
      </w:pPr>
      <w:r>
        <w:t xml:space="preserve">CRH generally hedges on a rolling nine-month basis.</w:t>
      </w:r>
    </w:p>
    <w:p>
      <w:pPr>
        <w:pStyle w:val="Compact"/>
        <w:numPr>
          <w:ilvl w:val="0"/>
          <w:numId w:val="1003"/>
        </w:numPr>
      </w:pPr>
      <w:r>
        <w:t xml:space="preserve">Its winter-fill program secures roughly half of its annual liquid-asphalt requirements.</w:t>
      </w:r>
    </w:p>
    <w:p>
      <w:pPr>
        <w:pStyle w:val="Compact"/>
        <w:numPr>
          <w:ilvl w:val="0"/>
          <w:numId w:val="1003"/>
        </w:numPr>
      </w:pPr>
      <w:r>
        <w:t xml:space="preserve">The company had begun targeted midyear price increases.</w:t>
      </w:r>
    </w:p>
    <w:p>
      <w:pPr>
        <w:pStyle w:val="Compact"/>
        <w:numPr>
          <w:ilvl w:val="0"/>
          <w:numId w:val="1003"/>
        </w:numPr>
      </w:pPr>
      <w:r>
        <w:t xml:space="preserve">Non-energy inflation in labor, raw materials, maintenance and subcontracting was expected to remain in the mid-single digits.</w:t>
      </w:r>
    </w:p>
    <w:p>
      <w:pPr>
        <w:pStyle w:val="FirstParagraph"/>
      </w:pPr>
      <w:r>
        <w:t xml:space="preserve">That protection should limit near-term damage, but rising diesel and fuel costs increase the importance of price-cost timing. The best result would combine healthy volume with continued margin expansion. A revenue beat accompanied by weaker margins would be considerably less convincing.</w:t>
      </w:r>
    </w:p>
    <w:bookmarkEnd w:id="16"/>
    <w:bookmarkStart w:id="17" w:name="X270533e46a657514fbd39c401f53c2299b5557f"/>
    <w:p>
      <w:pPr>
        <w:pStyle w:val="Heading2"/>
      </w:pPr>
      <w:r>
        <w:t xml:space="preserve">Americas Building Solutions: infrastructure strength versus residential weakness</w:t>
      </w:r>
    </w:p>
    <w:p>
      <w:pPr>
        <w:pStyle w:val="FirstParagraph"/>
      </w:pPr>
      <w:r>
        <w:t xml:space="preserve">Americas Building Solutions was the soft spot in Q1, with revenue down 1% and adjusted EBITDA flat. Adverse weather and subdued new-home construction weighed on Outdoor Living, while data-center, utility and water-infrastructure activity supported Building &amp; Infrastructure Solutions.</w:t>
      </w:r>
    </w:p>
    <w:p>
      <w:pPr>
        <w:pStyle w:val="BodyText"/>
      </w:pPr>
      <w:r>
        <w:t xml:space="preserve">The Q2 setup is mixed:</w:t>
      </w:r>
    </w:p>
    <w:p>
      <w:pPr>
        <w:pStyle w:val="Compact"/>
        <w:numPr>
          <w:ilvl w:val="0"/>
          <w:numId w:val="1004"/>
        </w:numPr>
      </w:pPr>
      <w:r>
        <w:rPr>
          <w:b/>
          <w:bCs/>
        </w:rPr>
        <w:t xml:space="preserve">Positive:</w:t>
      </w:r>
      <w:r>
        <w:t xml:space="preserve"> </w:t>
      </w:r>
      <w:r>
        <w:t xml:space="preserve">Data centers, utilities and water infrastructure should remain strong.</w:t>
      </w:r>
    </w:p>
    <w:p>
      <w:pPr>
        <w:pStyle w:val="Compact"/>
        <w:numPr>
          <w:ilvl w:val="0"/>
          <w:numId w:val="1004"/>
        </w:numPr>
      </w:pPr>
      <w:r>
        <w:rPr>
          <w:b/>
          <w:bCs/>
        </w:rPr>
        <w:t xml:space="preserve">Potential improvement:</w:t>
      </w:r>
      <w:r>
        <w:t xml:space="preserve"> </w:t>
      </w:r>
      <w:r>
        <w:t xml:space="preserve">Outdoor Living may benefit from delayed Q1 activity.</w:t>
      </w:r>
    </w:p>
    <w:p>
      <w:pPr>
        <w:pStyle w:val="Compact"/>
        <w:numPr>
          <w:ilvl w:val="0"/>
          <w:numId w:val="1004"/>
        </w:numPr>
      </w:pPr>
      <w:r>
        <w:rPr>
          <w:b/>
          <w:bCs/>
        </w:rPr>
        <w:t xml:space="preserve">Continuing risk:</w:t>
      </w:r>
      <w:r>
        <w:t xml:space="preserve"> </w:t>
      </w:r>
      <w:r>
        <w:t xml:space="preserve">New residential construction remains constrained by affordability and financing conditions.</w:t>
      </w:r>
    </w:p>
    <w:p>
      <w:pPr>
        <w:pStyle w:val="Compact"/>
        <w:numPr>
          <w:ilvl w:val="0"/>
          <w:numId w:val="1004"/>
        </w:numPr>
      </w:pPr>
      <w:r>
        <w:rPr>
          <w:b/>
          <w:bCs/>
        </w:rPr>
        <w:t xml:space="preserve">Margin support:</w:t>
      </w:r>
      <w:r>
        <w:t xml:space="preserve"> </w:t>
      </w:r>
      <w:r>
        <w:t xml:space="preserve">Cost reductions and operational initiatives should help offset weak residential volume.</w:t>
      </w:r>
    </w:p>
    <w:p>
      <w:pPr>
        <w:pStyle w:val="FirstParagraph"/>
      </w:pPr>
      <w:r>
        <w:t xml:space="preserve">A modest segment recovery is sufficient. Investors are unlikely to require strong residential growth, but another quarter of declining revenue would make the portfolio’s less infrastructure-oriented assets a more prominent concern.</w:t>
      </w:r>
    </w:p>
    <w:bookmarkEnd w:id="17"/>
    <w:bookmarkStart w:id="18" w:name="X673e935f386bff8e7d4591b4cbd3d9c4241a88c"/>
    <w:p>
      <w:pPr>
        <w:pStyle w:val="Heading2"/>
      </w:pPr>
      <w:r>
        <w:t xml:space="preserve">International Solutions should remain a margin contributor</w:t>
      </w:r>
    </w:p>
    <w:p>
      <w:pPr>
        <w:pStyle w:val="FirstParagraph"/>
      </w:pPr>
      <w:r>
        <w:t xml:space="preserve">International Solutions delivered the strongest Q1 margin improvement, with adjusted EBITDA rising 32% and margin expanding 130 basis points. Acquisitions, pricing, currency movements, portfolio changes and operational improvements all contributed.</w:t>
      </w:r>
    </w:p>
    <w:p>
      <w:pPr>
        <w:pStyle w:val="BodyText"/>
      </w:pPr>
      <w:r>
        <w:t xml:space="preserve">Q2 should benefit from easier weather conditions and the recovery of European activity following a difficult winter. Australia has also been performing well. The key issue is the quality of growth: investors should distinguish organic demand and pricing from foreign-exchange and acquisition effects.</w:t>
      </w:r>
    </w:p>
    <w:p>
      <w:pPr>
        <w:pStyle w:val="BodyText"/>
      </w:pPr>
      <w:r>
        <w:t xml:space="preserve">Continued International margin expansion would provide useful protection if North American price-cost trends become less favorable.</w:t>
      </w:r>
    </w:p>
    <w:bookmarkEnd w:id="18"/>
    <w:bookmarkStart w:id="21" w:name="X16f4e95b4fe49173ce5701165d1b8fbb2e0476b"/>
    <w:p>
      <w:pPr>
        <w:pStyle w:val="Heading2"/>
      </w:pPr>
      <w:r>
        <w:t xml:space="preserve">Full-year guidance is more important than the quarterly EPS result</w:t>
      </w:r>
    </w:p>
    <w:p>
      <w:pPr>
        <w:pStyle w:val="FirstParagraph"/>
      </w:pPr>
      <w:r>
        <w:t xml:space="preserve">CRH’s current 2026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FY2026 metric</w:t>
            </w:r>
          </w:p>
        </w:tc>
        <w:tc>
          <w:tcPr/>
          <w:p>
            <w:pPr>
              <w:pStyle w:val="Compact"/>
              <w:jc w:val="right"/>
            </w:pPr>
            <w:r>
              <w:t xml:space="preserve">Guidance</w:t>
            </w:r>
          </w:p>
        </w:tc>
      </w:tr>
      <w:tr>
        <w:tc>
          <w:tcPr/>
          <w:p>
            <w:pPr>
              <w:pStyle w:val="Compact"/>
            </w:pPr>
            <w:r>
              <w:t xml:space="preserve">Net income</w:t>
            </w:r>
          </w:p>
        </w:tc>
        <w:tc>
          <w:tcPr/>
          <w:p>
            <w:pPr>
              <w:pStyle w:val="Compact"/>
              <w:jc w:val="right"/>
            </w:pPr>
            <m:oMath>
              <m:r>
                <m:t>3.9</m:t>
              </m:r>
              <m:r>
                <m:t>b</m:t>
              </m:r>
              <m:r>
                <m:t>n</m:t>
              </m:r>
              <m:r>
                <m:rPr>
                  <m:sty m:val="p"/>
                </m:rPr>
                <m:t>–</m:t>
              </m:r>
            </m:oMath>
            <w:r>
              <w:rPr>
                <w:b/>
                <w:bCs/>
              </w:rPr>
              <w:t xml:space="preserve">4.1bn</w:t>
            </w:r>
          </w:p>
        </w:tc>
      </w:tr>
      <w:tr>
        <w:tc>
          <w:tcPr/>
          <w:p>
            <w:pPr>
              <w:pStyle w:val="Compact"/>
            </w:pPr>
            <w:r>
              <w:t xml:space="preserve">Adjusted EBITDA</w:t>
            </w:r>
          </w:p>
        </w:tc>
        <w:tc>
          <w:tcPr/>
          <w:p>
            <w:pPr>
              <w:pStyle w:val="Compact"/>
              <w:jc w:val="right"/>
            </w:pPr>
            <m:oMath>
              <m:r>
                <m:t>8.1</m:t>
              </m:r>
              <m:r>
                <m:t>b</m:t>
              </m:r>
              <m:r>
                <m:t>n</m:t>
              </m:r>
              <m:r>
                <m:rPr>
                  <m:sty m:val="p"/>
                </m:rPr>
                <m:t>–</m:t>
              </m:r>
            </m:oMath>
            <w:r>
              <w:rPr>
                <w:b/>
                <w:bCs/>
              </w:rPr>
              <w:t xml:space="preserve">8.5bn</w:t>
            </w:r>
          </w:p>
        </w:tc>
      </w:tr>
      <w:tr>
        <w:tc>
          <w:tcPr/>
          <w:p>
            <w:pPr>
              <w:pStyle w:val="Compact"/>
            </w:pPr>
            <w:r>
              <w:t xml:space="preserve">Diluted EPS</w:t>
            </w:r>
          </w:p>
        </w:tc>
        <w:tc>
          <w:tcPr/>
          <w:p>
            <w:pPr>
              <w:pStyle w:val="Compact"/>
              <w:jc w:val="right"/>
            </w:pPr>
            <m:oMath>
              <m:r>
                <m:t>5.60</m:t>
              </m:r>
              <m:r>
                <m:rPr>
                  <m:sty m:val="p"/>
                </m:rPr>
                <m:t>–</m:t>
              </m:r>
            </m:oMath>
            <w:r>
              <w:rPr>
                <w:b/>
                <w:bCs/>
              </w:rPr>
              <w:t xml:space="preserve">6.05</w:t>
            </w:r>
          </w:p>
        </w:tc>
      </w:tr>
      <w:tr>
        <w:tc>
          <w:tcPr/>
          <w:p>
            <w:pPr>
              <w:pStyle w:val="Compact"/>
            </w:pPr>
            <w:r>
              <w:t xml:space="preserve">Capital expenditure</w:t>
            </w:r>
          </w:p>
        </w:tc>
        <w:tc>
          <w:tcPr/>
          <w:p>
            <w:pPr>
              <w:pStyle w:val="Compact"/>
              <w:jc w:val="right"/>
            </w:pPr>
            <m:oMath>
              <m:r>
                <m:t>2.8</m:t>
              </m:r>
              <m:r>
                <m:t>b</m:t>
              </m:r>
              <m:r>
                <m:t>n</m:t>
              </m:r>
              <m:r>
                <m:rPr>
                  <m:sty m:val="p"/>
                </m:rPr>
                <m:t>–</m:t>
              </m:r>
            </m:oMath>
            <w:r>
              <w:rPr>
                <w:b/>
                <w:bCs/>
              </w:rPr>
              <w:t xml:space="preserve">3.0bn</w:t>
            </w:r>
          </w:p>
        </w:tc>
      </w:tr>
    </w:tbl>
    <w:p>
      <w:pPr>
        <w:pStyle w:val="BodyText"/>
      </w:pPr>
      <w:r>
        <w:t xml:space="preserve">The guidance incorporates approximately</w:t>
      </w:r>
      <w:r>
        <w:t xml:space="preserve"> </w:t>
      </w:r>
      <w:r>
        <w:rPr>
          <w:b/>
          <w:bCs/>
        </w:rPr>
        <w:t xml:space="preserve">$200 million of net incremental EBITDA</w:t>
      </w:r>
      <w:r>
        <w:t xml:space="preserve"> </w:t>
      </w:r>
      <w:r>
        <w:t xml:space="preserve">from acquisitions and divestitures announced through Q1. It does not include Arcosa, which is expected to close in Q1 2027. (</w:t>
      </w:r>
      <w:hyperlink r:id="rId19">
        <w:r>
          <w:rPr>
            <w:rStyle w:val="Hyperlink"/>
          </w:rPr>
          <w:t xml:space="preserve">crh.com</w:t>
        </w:r>
      </w:hyperlink>
      <w:r>
        <w:t xml:space="preserve">)</w:t>
      </w:r>
    </w:p>
    <w:p>
      <w:pPr>
        <w:pStyle w:val="BodyText"/>
      </w:pPr>
      <w:r>
        <w:t xml:space="preserve">At the $8.3 billion midpoint, CRH needs roughly</w:t>
      </w:r>
      <w:r>
        <w:t xml:space="preserve"> </w:t>
      </w:r>
      <w:r>
        <w:rPr>
          <w:b/>
          <w:bCs/>
        </w:rPr>
        <w:t xml:space="preserve">7% EBITDA growth over the final nine months of 2026</w:t>
      </w:r>
      <w:r>
        <w:t xml:space="preserve"> </w:t>
      </w:r>
      <w:r>
        <w:t xml:space="preserve">after its strong Q1. A Q2 EBITDA result near the $2.6 billion consensus would keep that trajectory intact.</w:t>
      </w:r>
    </w:p>
    <w:bookmarkStart w:id="20" w:name="likely-guidance-outcomes"/>
    <w:p>
      <w:pPr>
        <w:pStyle w:val="Heading3"/>
      </w:pPr>
      <w:r>
        <w:t xml:space="preserve">Likely guidance outcomes</w:t>
      </w:r>
    </w:p>
    <w:p>
      <w:pPr>
        <w:pStyle w:val="Compact"/>
        <w:numPr>
          <w:ilvl w:val="0"/>
          <w:numId w:val="1005"/>
        </w:numPr>
      </w:pPr>
      <w:r>
        <w:rPr>
          <w:b/>
          <w:bCs/>
        </w:rPr>
        <w:t xml:space="preserve">Raise or move toward the upper half:</w:t>
      </w:r>
      <w:r>
        <w:t xml:space="preserve"> </w:t>
      </w:r>
      <w:r>
        <w:t xml:space="preserve">A meaningful positive signal, particularly if supported by organic volume and margins rather than transaction timing or currency.</w:t>
      </w:r>
    </w:p>
    <w:p>
      <w:pPr>
        <w:pStyle w:val="Compact"/>
        <w:numPr>
          <w:ilvl w:val="0"/>
          <w:numId w:val="1005"/>
        </w:numPr>
      </w:pPr>
      <w:r>
        <w:rPr>
          <w:b/>
          <w:bCs/>
        </w:rPr>
        <w:t xml:space="preserve">Reaffirm with confident commentary:</w:t>
      </w:r>
      <w:r>
        <w:t xml:space="preserve"> </w:t>
      </w:r>
      <w:r>
        <w:t xml:space="preserve">A satisfactory base-case result.</w:t>
      </w:r>
    </w:p>
    <w:p>
      <w:pPr>
        <w:pStyle w:val="Compact"/>
        <w:numPr>
          <w:ilvl w:val="0"/>
          <w:numId w:val="1005"/>
        </w:numPr>
      </w:pPr>
      <w:r>
        <w:rPr>
          <w:b/>
          <w:bCs/>
        </w:rPr>
        <w:t xml:space="preserve">Reaffirm but emphasize cost, weather or macro risk:</w:t>
      </w:r>
      <w:r>
        <w:t xml:space="preserve"> </w:t>
      </w:r>
      <w:r>
        <w:t xml:space="preserve">Likely viewed cautiously.</w:t>
      </w:r>
    </w:p>
    <w:p>
      <w:pPr>
        <w:pStyle w:val="Compact"/>
        <w:numPr>
          <w:ilvl w:val="0"/>
          <w:numId w:val="1005"/>
        </w:numPr>
      </w:pPr>
      <w:r>
        <w:rPr>
          <w:b/>
          <w:bCs/>
        </w:rPr>
        <w:t xml:space="preserve">Reduce or guide toward the low end:</w:t>
      </w:r>
      <w:r>
        <w:t xml:space="preserve"> </w:t>
      </w:r>
      <w:r>
        <w:t xml:space="preserve">A clear negative, because the stock’s decline already reflects a degree of concern.</w:t>
      </w:r>
    </w:p>
    <w:p>
      <w:pPr>
        <w:pStyle w:val="FirstParagraph"/>
      </w:pPr>
      <w:r>
        <w:t xml:space="preserve">CRH could also narrow its ranges now that the company is halfway through the year. The midpoint and underlying assumptions will matter more than whether management technically labels the change a “raise.”</w:t>
      </w:r>
    </w:p>
    <w:bookmarkEnd w:id="20"/>
    <w:bookmarkEnd w:id="21"/>
    <w:bookmarkStart w:id="24" w:name="Xa71646af1325e21be52ede68fc385fc55770bed"/>
    <w:p>
      <w:pPr>
        <w:pStyle w:val="Heading2"/>
      </w:pPr>
      <w:r>
        <w:t xml:space="preserve">Arcosa will dominate the call even though it does not affect Q2 earnings</w:t>
      </w:r>
    </w:p>
    <w:p>
      <w:pPr>
        <w:pStyle w:val="FirstParagraph"/>
      </w:pPr>
      <w:r>
        <w:t xml:space="preserve">CRH agreed in June to purchase Arcosa for</w:t>
      </w:r>
      <w:r>
        <w:t xml:space="preserve"> </w:t>
      </w:r>
      <m:oMath>
        <m:r>
          <m:t>150</m:t>
        </m:r>
        <m:r>
          <m:t>p</m:t>
        </m:r>
        <m:r>
          <m:t>e</m:t>
        </m:r>
        <m:r>
          <m:t>r</m:t>
        </m:r>
        <m:r>
          <m:t>s</m:t>
        </m:r>
        <m:r>
          <m:t>h</m:t>
        </m:r>
        <m:r>
          <m:t>a</m:t>
        </m:r>
        <m:r>
          <m:t>r</m:t>
        </m:r>
        <m:r>
          <m:t>e</m:t>
        </m:r>
        <m:r>
          <m:t>i</m:t>
        </m:r>
        <m:r>
          <m:t>n</m:t>
        </m:r>
        <m:r>
          <m:t>c</m:t>
        </m:r>
        <m:r>
          <m:t>a</m:t>
        </m:r>
        <m:r>
          <m:t>s</m:t>
        </m:r>
        <m:r>
          <m:t>h</m:t>
        </m:r>
        <m:r>
          <m:rPr>
            <m:sty m:val="p"/>
          </m:rPr>
          <m:t>*</m:t>
        </m:r>
        <m:r>
          <m:rPr>
            <m:sty m:val="p"/>
          </m:rPr>
          <m:t>*</m:t>
        </m:r>
        <m:r>
          <m:rPr>
            <m:sty m:val="p"/>
          </m:rPr>
          <m:t>,</m:t>
        </m:r>
        <m:r>
          <m:t>i</m:t>
        </m:r>
        <m:r>
          <m:t>m</m:t>
        </m:r>
        <m:r>
          <m:t>p</m:t>
        </m:r>
        <m:r>
          <m:t>l</m:t>
        </m:r>
        <m:r>
          <m:t>y</m:t>
        </m:r>
        <m:r>
          <m:t>i</m:t>
        </m:r>
        <m:r>
          <m:t>n</m:t>
        </m:r>
        <m:r>
          <m:t>g</m:t>
        </m:r>
        <m:r>
          <m:t>a</m:t>
        </m:r>
        <m:r>
          <m:t>n</m:t>
        </m:r>
        <m:r>
          <m:t>e</m:t>
        </m:r>
        <m:r>
          <m:t>n</m:t>
        </m:r>
        <m:r>
          <m:t>t</m:t>
        </m:r>
        <m:r>
          <m:t>e</m:t>
        </m:r>
        <m:r>
          <m:t>r</m:t>
        </m:r>
        <m:r>
          <m:t>p</m:t>
        </m:r>
        <m:r>
          <m:t>r</m:t>
        </m:r>
        <m:r>
          <m:t>i</m:t>
        </m:r>
        <m:r>
          <m:t>s</m:t>
        </m:r>
        <m:r>
          <m:t>e</m:t>
        </m:r>
        <m:r>
          <m:t>v</m:t>
        </m:r>
        <m:r>
          <m:t>a</m:t>
        </m:r>
        <m:r>
          <m:t>l</m:t>
        </m:r>
        <m:r>
          <m:t>u</m:t>
        </m:r>
        <m:r>
          <m:t>e</m:t>
        </m:r>
        <m:r>
          <m:t>o</m:t>
        </m:r>
        <m:r>
          <m:t>f</m:t>
        </m:r>
        <m:r>
          <m:t>a</m:t>
        </m:r>
        <m:r>
          <m:t>p</m:t>
        </m:r>
        <m:r>
          <m:t>p</m:t>
        </m:r>
        <m:r>
          <m:t>r</m:t>
        </m:r>
        <m:r>
          <m:t>o</m:t>
        </m:r>
        <m:r>
          <m:t>x</m:t>
        </m:r>
        <m:r>
          <m:t>i</m:t>
        </m:r>
        <m:r>
          <m:t>m</m:t>
        </m:r>
        <m:r>
          <m:t>a</m:t>
        </m:r>
        <m:r>
          <m:t>t</m:t>
        </m:r>
        <m:r>
          <m:t>e</m:t>
        </m:r>
        <m:r>
          <m:t>l</m:t>
        </m:r>
        <m:r>
          <m:t>y</m:t>
        </m:r>
        <m:r>
          <m:rPr>
            <m:sty m:val="p"/>
          </m:rPr>
          <m:t>*</m:t>
        </m:r>
        <m:r>
          <m:rPr>
            <m:sty m:val="p"/>
          </m:rPr>
          <m:t>*</m:t>
        </m:r>
      </m:oMath>
      <w:r>
        <w:rPr>
          <w:b/>
          <w:bCs/>
        </w:rPr>
        <w:t xml:space="preserve">8.5 billion</w:t>
      </w:r>
      <w:r>
        <w:t xml:space="preserve">. Management expects:</w:t>
      </w:r>
    </w:p>
    <w:p>
      <w:pPr>
        <w:pStyle w:val="Compact"/>
        <w:numPr>
          <w:ilvl w:val="0"/>
          <w:numId w:val="1006"/>
        </w:numPr>
      </w:pPr>
      <w:r>
        <w:t xml:space="preserve">Approximately</w:t>
      </w:r>
      <w:r>
        <w:t xml:space="preserve"> </w:t>
      </w:r>
      <w:r>
        <w:rPr>
          <w:b/>
          <w:bCs/>
        </w:rPr>
        <w:t xml:space="preserve">$175 million of annual run-rate cost synergies by year three</w:t>
      </w:r>
      <w:r>
        <w:t xml:space="preserve">.</w:t>
      </w:r>
    </w:p>
    <w:p>
      <w:pPr>
        <w:pStyle w:val="Compact"/>
        <w:numPr>
          <w:ilvl w:val="0"/>
          <w:numId w:val="1006"/>
        </w:numPr>
      </w:pPr>
      <w:r>
        <w:t xml:space="preserve">Accretion to earnings, margin and cash flow in the first 12 months after closing.</w:t>
      </w:r>
    </w:p>
    <w:p>
      <w:pPr>
        <w:pStyle w:val="Compact"/>
        <w:numPr>
          <w:ilvl w:val="0"/>
          <w:numId w:val="1006"/>
        </w:numPr>
      </w:pPr>
      <w:r>
        <w:t xml:space="preserve">Pro forma 2026 net debt to adjusted EBITDA of approximately</w:t>
      </w:r>
      <w:r>
        <w:t xml:space="preserve"> </w:t>
      </w:r>
      <w:r>
        <w:rPr>
          <w:b/>
          <w:bCs/>
        </w:rPr>
        <w:t xml:space="preserve">2.4x</w:t>
      </w:r>
      <w:r>
        <w:t xml:space="preserve">.</w:t>
      </w:r>
    </w:p>
    <w:p>
      <w:pPr>
        <w:pStyle w:val="Compact"/>
        <w:numPr>
          <w:ilvl w:val="0"/>
          <w:numId w:val="1006"/>
        </w:numPr>
      </w:pPr>
      <w:r>
        <w:t xml:space="preserve">Completion in Q1 2027, subject to stockholder and regulatory approvals. (</w:t>
      </w:r>
      <w:hyperlink r:id="rId19">
        <w:r>
          <w:rPr>
            <w:rStyle w:val="Hyperlink"/>
          </w:rPr>
          <w:t xml:space="preserve">crh.com</w:t>
        </w:r>
      </w:hyperlink>
      <w:r>
        <w:t xml:space="preserve">)</w:t>
      </w:r>
    </w:p>
    <w:p>
      <w:pPr>
        <w:pStyle w:val="FirstParagraph"/>
      </w:pPr>
      <w:r>
        <w:t xml:space="preserve">CRH subsequently secured a three-year</w:t>
      </w:r>
      <w:r>
        <w:t xml:space="preserve"> </w:t>
      </w:r>
      <w:r>
        <w:rPr>
          <w:b/>
          <w:bCs/>
        </w:rPr>
        <w:t xml:space="preserve">$2.5 billion term loan</w:t>
      </w:r>
      <w:r>
        <w:t xml:space="preserve">, reducing its original bridge facility from $5.75 billion to $3.25 billion. The company expects to replace some or all of the remaining bridge commitment with alternative financing before closing. (</w:t>
      </w:r>
      <w:hyperlink r:id="rId22">
        <w:r>
          <w:rPr>
            <w:rStyle w:val="Hyperlink"/>
          </w:rPr>
          <w:t xml:space="preserve">sec.gov</w:t>
        </w:r>
      </w:hyperlink>
      <w:r>
        <w:t xml:space="preserve">)</w:t>
      </w:r>
    </w:p>
    <w:bookmarkStart w:id="23" w:name="questions-investors-need-answered"/>
    <w:p>
      <w:pPr>
        <w:pStyle w:val="Heading3"/>
      </w:pPr>
      <w:r>
        <w:t xml:space="preserve">Questions investors need answered</w:t>
      </w:r>
    </w:p>
    <w:p>
      <w:pPr>
        <w:pStyle w:val="Compact"/>
        <w:numPr>
          <w:ilvl w:val="0"/>
          <w:numId w:val="1007"/>
        </w:numPr>
      </w:pPr>
      <w:r>
        <w:t xml:space="preserve">Has the expected financing cost changed since the acquisition announcement?</w:t>
      </w:r>
    </w:p>
    <w:p>
      <w:pPr>
        <w:pStyle w:val="Compact"/>
        <w:numPr>
          <w:ilvl w:val="0"/>
          <w:numId w:val="1007"/>
        </w:numPr>
      </w:pPr>
      <w:r>
        <w:t xml:space="preserve">Does management still expect 2.4x pro forma leverage?</w:t>
      </w:r>
    </w:p>
    <w:p>
      <w:pPr>
        <w:pStyle w:val="Compact"/>
        <w:numPr>
          <w:ilvl w:val="0"/>
          <w:numId w:val="1007"/>
        </w:numPr>
      </w:pPr>
      <w:r>
        <w:t xml:space="preserve">How quickly will CRH return toward its normal leverage range?</w:t>
      </w:r>
    </w:p>
    <w:p>
      <w:pPr>
        <w:pStyle w:val="Compact"/>
        <w:numPr>
          <w:ilvl w:val="0"/>
          <w:numId w:val="1007"/>
        </w:numPr>
      </w:pPr>
      <w:r>
        <w:t xml:space="preserve">Are buybacks likely to slow while the transaction is pending?</w:t>
      </w:r>
    </w:p>
    <w:p>
      <w:pPr>
        <w:pStyle w:val="Compact"/>
        <w:numPr>
          <w:ilvl w:val="0"/>
          <w:numId w:val="1007"/>
        </w:numPr>
      </w:pPr>
      <w:r>
        <w:t xml:space="preserve">Is the $175 million synergy target weighted toward relatively certain procurement savings or more execution-sensitive operating improvements?</w:t>
      </w:r>
    </w:p>
    <w:p>
      <w:pPr>
        <w:pStyle w:val="Compact"/>
        <w:numPr>
          <w:ilvl w:val="0"/>
          <w:numId w:val="1007"/>
        </w:numPr>
      </w:pPr>
      <w:r>
        <w:t xml:space="preserve">Does regulatory review present any material risk, particularly in aggregates markets where CRH already has significant scale?</w:t>
      </w:r>
    </w:p>
    <w:p>
      <w:pPr>
        <w:pStyle w:val="Compact"/>
        <w:numPr>
          <w:ilvl w:val="0"/>
          <w:numId w:val="1007"/>
        </w:numPr>
      </w:pPr>
      <w:r>
        <w:t xml:space="preserve">Why is retaining Arcosa’s Engineered Structures business preferable to focusing exclusively on aggregates?</w:t>
      </w:r>
    </w:p>
    <w:p>
      <w:pPr>
        <w:pStyle w:val="FirstParagraph"/>
      </w:pPr>
      <w:r>
        <w:t xml:space="preserve">The acquisition strengthens CRH’s exposure to aggregates, electric-grid infrastructure and data-center construction, but at</w:t>
      </w:r>
      <w:r>
        <w:t xml:space="preserve"> </w:t>
      </w:r>
      <w:r>
        <w:rPr>
          <w:b/>
          <w:bCs/>
        </w:rPr>
        <w:t xml:space="preserve">11.5x expected EBITDA including full run-rate synergies</w:t>
      </w:r>
      <w:r>
        <w:t xml:space="preserve">, management must demonstrate that it is not sacrificing capital discipline for scale. (</w:t>
      </w:r>
      <w:hyperlink r:id="rId19">
        <w:r>
          <w:rPr>
            <w:rStyle w:val="Hyperlink"/>
          </w:rPr>
          <w:t xml:space="preserve">crh.com</w:t>
        </w:r>
      </w:hyperlink>
      <w:r>
        <w:t xml:space="preserve">)</w:t>
      </w:r>
    </w:p>
    <w:bookmarkEnd w:id="23"/>
    <w:bookmarkEnd w:id="24"/>
    <w:bookmarkStart w:id="25" w:name="Xdd3d787c72a2d9d78581897658caf0f9eef6dfe"/>
    <w:p>
      <w:pPr>
        <w:pStyle w:val="Heading2"/>
      </w:pPr>
      <w:r>
        <w:t xml:space="preserve">Portfolio transactions and balance-sheet disclosures</w:t>
      </w:r>
    </w:p>
    <w:p>
      <w:pPr>
        <w:pStyle w:val="FirstParagraph"/>
      </w:pPr>
      <w:r>
        <w:t xml:space="preserve">Investors should also look for updates on the transactions announced before Arcosa:</w:t>
      </w:r>
    </w:p>
    <w:p>
      <w:pPr>
        <w:pStyle w:val="Compact"/>
        <w:numPr>
          <w:ilvl w:val="0"/>
          <w:numId w:val="1008"/>
        </w:numPr>
      </w:pPr>
      <w:r>
        <w:t xml:space="preserve">Acquisition of Axius Water for approximately $700 million.</w:t>
      </w:r>
    </w:p>
    <w:p>
      <w:pPr>
        <w:pStyle w:val="Compact"/>
        <w:numPr>
          <w:ilvl w:val="0"/>
          <w:numId w:val="1008"/>
        </w:numPr>
      </w:pPr>
      <w:r>
        <w:t xml:space="preserve">Divestiture of Lawn &amp; Garden for approximately $1.1 billion.</w:t>
      </w:r>
    </w:p>
    <w:p>
      <w:pPr>
        <w:pStyle w:val="Compact"/>
        <w:numPr>
          <w:ilvl w:val="0"/>
          <w:numId w:val="1008"/>
        </w:numPr>
      </w:pPr>
      <w:r>
        <w:t xml:space="preserve">Divestiture of Construction Accessories for approximately $700 million.</w:t>
      </w:r>
    </w:p>
    <w:p>
      <w:pPr>
        <w:pStyle w:val="Compact"/>
        <w:numPr>
          <w:ilvl w:val="0"/>
          <w:numId w:val="1008"/>
        </w:numPr>
      </w:pPr>
      <w:r>
        <w:t xml:space="preserve">Sale of MoistureShield, which closed in April.</w:t>
      </w:r>
    </w:p>
    <w:p>
      <w:pPr>
        <w:pStyle w:val="FirstParagraph"/>
      </w:pPr>
      <w:r>
        <w:t xml:space="preserve">The timing of those closings will affect reported revenue, EBITDA, cash and net debt. At March 31, CRH had net debt of approximately</w:t>
      </w:r>
      <w:r>
        <w:t xml:space="preserve"> </w:t>
      </w:r>
      <w:r>
        <w:rPr>
          <w:b/>
          <w:bCs/>
        </w:rPr>
        <w:t xml:space="preserve">$15.8 billion</w:t>
      </w:r>
      <w:r>
        <w:t xml:space="preserve">, up from $14.2 billion at year-end due in part to normal seasonal cash usage, acquisitions, capital expenditure and shareholder returns.</w:t>
      </w:r>
    </w:p>
    <w:p>
      <w:pPr>
        <w:pStyle w:val="BodyText"/>
      </w:pPr>
      <w:r>
        <w:t xml:space="preserve">A clear bridge from Q1 net debt to the expected post-Arcosa capital structure would help reduce uncertainty.</w:t>
      </w:r>
    </w:p>
    <w:bookmarkEnd w:id="25"/>
    <w:bookmarkStart w:id="27" w:name="first-earnings-report-under-the-new-cfo"/>
    <w:p>
      <w:pPr>
        <w:pStyle w:val="Heading2"/>
      </w:pPr>
      <w:r>
        <w:t xml:space="preserve">First earnings report under the new CFO</w:t>
      </w:r>
    </w:p>
    <w:p>
      <w:pPr>
        <w:pStyle w:val="FirstParagraph"/>
      </w:pPr>
      <w:r>
        <w:t xml:space="preserve">This will be the first earnings report since</w:t>
      </w:r>
      <w:r>
        <w:t xml:space="preserve"> </w:t>
      </w:r>
      <w:r>
        <w:rPr>
          <w:b/>
          <w:bCs/>
        </w:rPr>
        <w:t xml:space="preserve">Aylwyn Bryan became CFO on May 12</w:t>
      </w:r>
      <w:r>
        <w:t xml:space="preserve">. Bryan previously served as CFO of CRH’s Americas Division and has spent 14 years with the company. He succeeded Nancy Buese, who stepped down by mutual agreement; CRH said the change was unrelated to accounting, controls, guidance or operating disagreements. (</w:t>
      </w:r>
      <w:hyperlink r:id="rId26">
        <w:r>
          <w:rPr>
            <w:rStyle w:val="Hyperlink"/>
          </w:rPr>
          <w:t xml:space="preserve">crh.com</w:t>
        </w:r>
      </w:hyperlink>
      <w:r>
        <w:t xml:space="preserve">)</w:t>
      </w:r>
    </w:p>
    <w:p>
      <w:pPr>
        <w:pStyle w:val="BodyText"/>
      </w:pPr>
      <w:r>
        <w:t xml:space="preserve">The internal appointment provides continuity, but investors will listen closely for Bryan’s approach to leverage, acquisition underwriting, free-cash-flow conversion and shareholder returns—particularly following the largest transaction in CRH’s recent history.</w:t>
      </w:r>
    </w:p>
    <w:bookmarkEnd w:id="27"/>
    <w:bookmarkStart w:id="28" w:name="stock-setup-and-valuation"/>
    <w:p>
      <w:pPr>
        <w:pStyle w:val="Heading2"/>
      </w:pPr>
      <w:r>
        <w:t xml:space="preserve">Stock setup and valuation</w:t>
      </w:r>
    </w:p>
    <w:p>
      <w:pPr>
        <w:pStyle w:val="FirstParagraph"/>
      </w:pPr>
      <w:r>
        <w:t xml:space="preserve">At approximately $100 per share, CRH trades at roughly:</w:t>
      </w:r>
    </w:p>
    <w:p>
      <w:pPr>
        <w:pStyle w:val="Compact"/>
        <w:numPr>
          <w:ilvl w:val="0"/>
          <w:numId w:val="1009"/>
        </w:numPr>
      </w:pPr>
      <w:r>
        <w:rPr>
          <w:b/>
          <w:bCs/>
        </w:rPr>
        <w:t xml:space="preserve">17.2x</w:t>
      </w:r>
      <w:r>
        <w:t xml:space="preserve"> </w:t>
      </w:r>
      <w:r>
        <w:t xml:space="preserve">the midpoint of 2026 EPS guidance.</w:t>
      </w:r>
    </w:p>
    <w:p>
      <w:pPr>
        <w:pStyle w:val="Compact"/>
        <w:numPr>
          <w:ilvl w:val="0"/>
          <w:numId w:val="1009"/>
        </w:numPr>
      </w:pPr>
      <w:r>
        <w:rPr>
          <w:b/>
          <w:bCs/>
        </w:rPr>
        <w:t xml:space="preserve">10x enterprise value to the midpoint of 2026 adjusted EBITDA</w:t>
      </w:r>
      <w:r>
        <w:t xml:space="preserve">, using Q1 net debt and the Q1 diluted share count as rough proxies.</w:t>
      </w:r>
    </w:p>
    <w:p>
      <w:pPr>
        <w:pStyle w:val="FirstParagraph"/>
      </w:pPr>
      <w:r>
        <w:t xml:space="preserve">Those figures exclude the eventual effect of Arcosa and therefore should not be treated as post-transaction valuation multiples. Nevertheless, the stock’s approximately 21% year-to-date decline suggests the market has already discounted some combination of higher energy costs, macro uncertainty and acquisition-related leverage.</w:t>
      </w:r>
    </w:p>
    <w:p>
      <w:pPr>
        <w:pStyle w:val="BodyText"/>
      </w:pPr>
      <w:r>
        <w:t xml:space="preserve">That creates a more favorable setup for a clean result, but the acquisition also raises the hurdle for what qualifies as reassuring guidance.</w:t>
      </w:r>
    </w:p>
    <w:bookmarkEnd w:id="28"/>
    <w:bookmarkStart w:id="32" w:name="earnings-scenarios"/>
    <w:p>
      <w:pPr>
        <w:pStyle w:val="Heading2"/>
      </w:pPr>
      <w:r>
        <w:t xml:space="preserve">Earnings scenarios</w:t>
      </w:r>
    </w:p>
    <w:bookmarkStart w:id="29" w:name="bull-case"/>
    <w:p>
      <w:pPr>
        <w:pStyle w:val="Heading3"/>
      </w:pPr>
      <w:r>
        <w:t xml:space="preserve">Bull case</w:t>
      </w:r>
    </w:p>
    <w:p>
      <w:pPr>
        <w:pStyle w:val="Compact"/>
        <w:numPr>
          <w:ilvl w:val="0"/>
          <w:numId w:val="1010"/>
        </w:numPr>
      </w:pPr>
      <w:r>
        <w:t xml:space="preserve">Revenue of at least roughly $10.8 billion.</w:t>
      </w:r>
    </w:p>
    <w:p>
      <w:pPr>
        <w:pStyle w:val="Compact"/>
        <w:numPr>
          <w:ilvl w:val="0"/>
          <w:numId w:val="1010"/>
        </w:numPr>
      </w:pPr>
      <w:r>
        <w:t xml:space="preserve">Adjusted EBITDA clearly above $2.6 billion.</w:t>
      </w:r>
    </w:p>
    <w:p>
      <w:pPr>
        <w:pStyle w:val="Compact"/>
        <w:numPr>
          <w:ilvl w:val="0"/>
          <w:numId w:val="1010"/>
        </w:numPr>
      </w:pPr>
      <w:r>
        <w:t xml:space="preserve">At least 40–50 basis points of margin expansion.</w:t>
      </w:r>
    </w:p>
    <w:p>
      <w:pPr>
        <w:pStyle w:val="Compact"/>
        <w:numPr>
          <w:ilvl w:val="0"/>
          <w:numId w:val="1010"/>
        </w:numPr>
      </w:pPr>
      <w:r>
        <w:t xml:space="preserve">Positive organic aggregates and road volumes.</w:t>
      </w:r>
    </w:p>
    <w:p>
      <w:pPr>
        <w:pStyle w:val="Compact"/>
        <w:numPr>
          <w:ilvl w:val="0"/>
          <w:numId w:val="1010"/>
        </w:numPr>
      </w:pPr>
      <w:r>
        <w:t xml:space="preserve">Mix-adjusted aggregates pricing remains near 5%.</w:t>
      </w:r>
    </w:p>
    <w:p>
      <w:pPr>
        <w:pStyle w:val="Compact"/>
        <w:numPr>
          <w:ilvl w:val="0"/>
          <w:numId w:val="1010"/>
        </w:numPr>
      </w:pPr>
      <w:r>
        <w:t xml:space="preserve">Full-year guidance moves toward or above the current midpoint.</w:t>
      </w:r>
    </w:p>
    <w:p>
      <w:pPr>
        <w:pStyle w:val="Compact"/>
        <w:numPr>
          <w:ilvl w:val="0"/>
          <w:numId w:val="1010"/>
        </w:numPr>
      </w:pPr>
      <w:r>
        <w:t xml:space="preserve">Management gives a credible Arcosa financing and deleveraging plan.</w:t>
      </w:r>
    </w:p>
    <w:bookmarkEnd w:id="29"/>
    <w:bookmarkStart w:id="30" w:name="base-case"/>
    <w:p>
      <w:pPr>
        <w:pStyle w:val="Heading3"/>
      </w:pPr>
      <w:r>
        <w:t xml:space="preserve">Base case</w:t>
      </w:r>
    </w:p>
    <w:p>
      <w:pPr>
        <w:pStyle w:val="Compact"/>
        <w:numPr>
          <w:ilvl w:val="0"/>
          <w:numId w:val="1011"/>
        </w:numPr>
      </w:pPr>
      <w:r>
        <w:t xml:space="preserve">Revenue and EBITDA close to consensus.</w:t>
      </w:r>
    </w:p>
    <w:p>
      <w:pPr>
        <w:pStyle w:val="Compact"/>
        <w:numPr>
          <w:ilvl w:val="0"/>
          <w:numId w:val="1011"/>
        </w:numPr>
      </w:pPr>
      <w:r>
        <w:t xml:space="preserve">Modest margin expansion.</w:t>
      </w:r>
    </w:p>
    <w:p>
      <w:pPr>
        <w:pStyle w:val="Compact"/>
        <w:numPr>
          <w:ilvl w:val="0"/>
          <w:numId w:val="1011"/>
        </w:numPr>
      </w:pPr>
      <w:r>
        <w:t xml:space="preserve">Infrastructure strength offsets weak residential activity.</w:t>
      </w:r>
    </w:p>
    <w:p>
      <w:pPr>
        <w:pStyle w:val="Compact"/>
        <w:numPr>
          <w:ilvl w:val="0"/>
          <w:numId w:val="1011"/>
        </w:numPr>
      </w:pPr>
      <w:r>
        <w:t xml:space="preserve">Full-year guidance is reaffirmed.</w:t>
      </w:r>
    </w:p>
    <w:p>
      <w:pPr>
        <w:pStyle w:val="Compact"/>
        <w:numPr>
          <w:ilvl w:val="0"/>
          <w:numId w:val="1011"/>
        </w:numPr>
      </w:pPr>
      <w:r>
        <w:t xml:space="preserve">Arcosa assumptions remain unchanged.</w:t>
      </w:r>
    </w:p>
    <w:p>
      <w:pPr>
        <w:pStyle w:val="Compact"/>
        <w:numPr>
          <w:ilvl w:val="0"/>
          <w:numId w:val="1011"/>
        </w:numPr>
      </w:pPr>
      <w:r>
        <w:t xml:space="preserve">Another quarterly dividend increase and/or modest buyback authorization, balanced against acquisition funding needs.</w:t>
      </w:r>
    </w:p>
    <w:bookmarkEnd w:id="30"/>
    <w:bookmarkStart w:id="31" w:name="bear-case"/>
    <w:p>
      <w:pPr>
        <w:pStyle w:val="Heading3"/>
      </w:pPr>
      <w:r>
        <w:t xml:space="preserve">Bear case</w:t>
      </w:r>
    </w:p>
    <w:p>
      <w:pPr>
        <w:pStyle w:val="Compact"/>
        <w:numPr>
          <w:ilvl w:val="0"/>
          <w:numId w:val="1012"/>
        </w:numPr>
      </w:pPr>
      <w:r>
        <w:t xml:space="preserve">Revenue growth is largely acquisition- and currency-driven.</w:t>
      </w:r>
    </w:p>
    <w:p>
      <w:pPr>
        <w:pStyle w:val="Compact"/>
        <w:numPr>
          <w:ilvl w:val="0"/>
          <w:numId w:val="1012"/>
        </w:numPr>
      </w:pPr>
      <w:r>
        <w:t xml:space="preserve">Organic Americas Materials volumes weaken.</w:t>
      </w:r>
    </w:p>
    <w:p>
      <w:pPr>
        <w:pStyle w:val="Compact"/>
        <w:numPr>
          <w:ilvl w:val="0"/>
          <w:numId w:val="1012"/>
        </w:numPr>
      </w:pPr>
      <w:r>
        <w:t xml:space="preserve">Energy and transportation costs cause flat or lower margins.</w:t>
      </w:r>
    </w:p>
    <w:p>
      <w:pPr>
        <w:pStyle w:val="Compact"/>
        <w:numPr>
          <w:ilvl w:val="0"/>
          <w:numId w:val="1012"/>
        </w:numPr>
      </w:pPr>
      <w:r>
        <w:t xml:space="preserve">Cement pricing remains negative.</w:t>
      </w:r>
    </w:p>
    <w:p>
      <w:pPr>
        <w:pStyle w:val="Compact"/>
        <w:numPr>
          <w:ilvl w:val="0"/>
          <w:numId w:val="1012"/>
        </w:numPr>
      </w:pPr>
      <w:r>
        <w:t xml:space="preserve">Management emphasizes the lower half of annual guidance.</w:t>
      </w:r>
    </w:p>
    <w:p>
      <w:pPr>
        <w:pStyle w:val="Compact"/>
        <w:numPr>
          <w:ilvl w:val="0"/>
          <w:numId w:val="1012"/>
        </w:numPr>
      </w:pPr>
      <w:r>
        <w:t xml:space="preserve">Higher financing costs or a slower deleveraging path undermine the Arcosa accretion case.</w:t>
      </w:r>
    </w:p>
    <w:bookmarkEnd w:id="31"/>
    <w:bookmarkEnd w:id="32"/>
    <w:bookmarkStart w:id="33" w:name="bottom-line"/>
    <w:p>
      <w:pPr>
        <w:pStyle w:val="Heading2"/>
      </w:pPr>
      <w:r>
        <w:t xml:space="preserve">Bottom line</w:t>
      </w:r>
    </w:p>
    <w:p>
      <w:pPr>
        <w:pStyle w:val="FirstParagraph"/>
      </w:pPr>
      <w:r>
        <w:t xml:space="preserve">The most important number is not likely to be Q2 EPS. It is the combination of:</w:t>
      </w:r>
    </w:p>
    <w:p>
      <w:pPr>
        <w:pStyle w:val="Compact"/>
        <w:numPr>
          <w:ilvl w:val="0"/>
          <w:numId w:val="1013"/>
        </w:numPr>
      </w:pPr>
      <w:r>
        <w:rPr>
          <w:b/>
          <w:bCs/>
        </w:rPr>
        <w:t xml:space="preserve">Organic growth in Americas Materials;</w:t>
      </w:r>
    </w:p>
    <w:p>
      <w:pPr>
        <w:pStyle w:val="Compact"/>
        <w:numPr>
          <w:ilvl w:val="0"/>
          <w:numId w:val="1013"/>
        </w:numPr>
      </w:pPr>
      <w:r>
        <w:rPr>
          <w:b/>
          <w:bCs/>
        </w:rPr>
        <w:t xml:space="preserve">Price-cost performance and EBITDA margin;</w:t>
      </w:r>
    </w:p>
    <w:p>
      <w:pPr>
        <w:pStyle w:val="Compact"/>
        <w:numPr>
          <w:ilvl w:val="0"/>
          <w:numId w:val="1013"/>
        </w:numPr>
      </w:pPr>
      <w:r>
        <w:rPr>
          <w:b/>
          <w:bCs/>
        </w:rPr>
        <w:t xml:space="preserve">The position of full-year EBITDA guidance within the</w:t>
      </w:r>
      <w:r>
        <w:rPr>
          <w:b/>
          <w:bCs/>
        </w:rPr>
        <w:t xml:space="preserve"> </w:t>
      </w:r>
      <m:oMath>
        <m:r>
          <m:t>8.1</m:t>
        </m:r>
        <m:r>
          <m:rPr>
            <m:sty m:val="p"/>
          </m:rPr>
          <m:t>–</m:t>
        </m:r>
      </m:oMath>
      <w:r>
        <w:rPr>
          <w:b/>
          <w:bCs/>
        </w:rPr>
        <w:t xml:space="preserve">8.5 billion range; and</w:t>
      </w:r>
    </w:p>
    <w:p>
      <w:pPr>
        <w:pStyle w:val="Compact"/>
        <w:numPr>
          <w:ilvl w:val="0"/>
          <w:numId w:val="1013"/>
        </w:numPr>
      </w:pPr>
      <w:r>
        <w:rPr>
          <w:b/>
          <w:bCs/>
        </w:rPr>
        <w:t xml:space="preserve">Management’s explanation of Arcosa financing, synergies and deleveraging.</w:t>
      </w:r>
    </w:p>
    <w:p>
      <w:pPr>
        <w:pStyle w:val="FirstParagraph"/>
      </w:pPr>
      <w:r>
        <w:t xml:space="preserve">A result near consensus with maintained guidance would show CRH remains on track, but probably would not fully settle the acquisition debate. A strong organic quarter, continued margin expansion and confidence in the upper half of guidance could make the stock’s recent decline look excessive. Conversely, any evidence that energy inflation is eroding margins while Arcosa increases financial risk would reinforce the market’s more cautious stance.</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www.crh.com/investors/?utm_source=openai" TargetMode="External" /><Relationship Type="http://schemas.openxmlformats.org/officeDocument/2006/relationships/hyperlink" Id="rId26" Target="https://www.crh.com/media/press-releases/2026/crh-appoints-aylwyn-bryan-as-cfo/?utm_source=openai" TargetMode="External" /><Relationship Type="http://schemas.openxmlformats.org/officeDocument/2006/relationships/hyperlink" Id="rId10" Target="https://www.crh.com/media/press-releases/2026/crh-reports-first-quarter-2026-results/?utm_source=openai" TargetMode="External" /><Relationship Type="http://schemas.openxmlformats.org/officeDocument/2006/relationships/hyperlink" Id="rId19" Target="https://www.crh.com/media/press-releases/2026/crh-to-acquire-arcosa-leading-u-s-provider-of-aggregates-and-critical-infrastructure-products-for-8-5b/?utm_source=openai" TargetMode="External" /><Relationship Type="http://schemas.openxmlformats.org/officeDocument/2006/relationships/hyperlink" Id="rId12" Target="https://www.marketbeat.com/earnings/reports/2026-7-30-crh-plc-stock/?utm_source=openai" TargetMode="External" /><Relationship Type="http://schemas.openxmlformats.org/officeDocument/2006/relationships/hyperlink" Id="rId22" Target="https://www.sec.gov/Archives/edgar/data/849395/000162828026048660/crh-20260717.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www.crh.com/investors/?utm_source=openai" TargetMode="External" /><Relationship Type="http://schemas.openxmlformats.org/officeDocument/2006/relationships/hyperlink" Id="rId26" Target="https://www.crh.com/media/press-releases/2026/crh-appoints-aylwyn-bryan-as-cfo/?utm_source=openai" TargetMode="External" /><Relationship Type="http://schemas.openxmlformats.org/officeDocument/2006/relationships/hyperlink" Id="rId10" Target="https://www.crh.com/media/press-releases/2026/crh-reports-first-quarter-2026-results/?utm_source=openai" TargetMode="External" /><Relationship Type="http://schemas.openxmlformats.org/officeDocument/2006/relationships/hyperlink" Id="rId19" Target="https://www.crh.com/media/press-releases/2026/crh-to-acquire-arcosa-leading-u-s-provider-of-aggregates-and-critical-infrastructure-products-for-8-5b/?utm_source=openai" TargetMode="External" /><Relationship Type="http://schemas.openxmlformats.org/officeDocument/2006/relationships/hyperlink" Id="rId12" Target="https://www.marketbeat.com/earnings/reports/2026-7-30-crh-plc-stock/?utm_source=openai" TargetMode="External" /><Relationship Type="http://schemas.openxmlformats.org/officeDocument/2006/relationships/hyperlink" Id="rId22" Target="https://www.sec.gov/Archives/edgar/data/849395/000162828026048660/crh-20260717.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2026-07-29T17:56:25Z</dcterms:created>
  <dcterms:modified xsi:type="dcterms:W3CDTF">2026-07-29T17:56:25Z</dcterms:modified>
</cp:coreProperties>
</file>

<file path=docProps/custom.xml><?xml version="1.0" encoding="utf-8"?>
<Properties xmlns="http://schemas.openxmlformats.org/officeDocument/2006/custom-properties" xmlns:vt="http://schemas.openxmlformats.org/officeDocument/2006/docPropsVTypes"/>
</file>