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crh-q2-2026-earnings-preview"/>
    <w:p>
      <w:pPr>
        <w:pStyle w:val="Heading1"/>
      </w:pPr>
      <w:r>
        <w:t xml:space="preserve">CRH Q2 2026 Earnings Preview</w:t>
      </w:r>
    </w:p>
    <w:p>
      <w:pPr>
        <w:pStyle w:val="FirstParagraph"/>
      </w:pPr>
      <w:r>
        <w:rPr>
          <w:b/>
          <w:bCs/>
        </w:rPr>
        <w:t xml:space="preserve">Event:</w:t>
      </w:r>
      <w:r>
        <w:t xml:space="preserve"> </w:t>
      </w:r>
      <w:r>
        <w:t xml:space="preserve">Thursday, July 30, 2026, before market open; conference call at</w:t>
      </w:r>
      <w:r>
        <w:t xml:space="preserve"> </w:t>
      </w:r>
      <w:r>
        <w:rPr>
          <w:b/>
          <w:bCs/>
        </w:rPr>
        <w:t xml:space="preserve">8:00 a.m. EDT</w:t>
      </w:r>
      <w:r>
        <w:t xml:space="preserve">.</w:t>
      </w:r>
      <w:r>
        <w:br/>
      </w:r>
      <w:r>
        <w:rPr>
          <w:b/>
          <w:bCs/>
        </w:rPr>
        <w:t xml:space="preserve">Company:</w:t>
      </w:r>
      <w:r>
        <w:t xml:space="preserve"> </w:t>
      </w:r>
      <w:r>
        <w:t xml:space="preserve">CRH (NYSE: CRH)</w:t>
      </w:r>
    </w:p>
    <w:bookmarkStart w:id="9" w:name="X1b42a92f44ec017927b4fa63d5f05be7384924d"/>
    <w:p>
      <w:pPr>
        <w:pStyle w:val="Heading2"/>
      </w:pPr>
      <w:r>
        <w:t xml:space="preserve">Investment view: execution and outlook matter more than the headline quarter</w:t>
      </w:r>
    </w:p>
    <w:p>
      <w:pPr>
        <w:pStyle w:val="FirstParagraph"/>
      </w:pPr>
      <w:r>
        <w:t xml:space="preserve">CRH enters Q2 with a constructive operating setup—strong infrastructure activity, healthy project backlogs, price/cost discipline, and incremental contributions from acquisitions—but a more complicated capital-allocation narrative following the announced</w:t>
      </w:r>
      <w:r>
        <w:t xml:space="preserve"> </w:t>
      </w:r>
      <w:r>
        <w:rPr>
          <w:b/>
          <w:bCs/>
        </w:rPr>
        <w:t xml:space="preserve">$8.5 billion acquisition of Arcosa</w:t>
      </w:r>
      <w:r>
        <w:t xml:space="preserve">.</w:t>
      </w:r>
    </w:p>
    <w:p>
      <w:pPr>
        <w:pStyle w:val="BodyText"/>
      </w:pPr>
      <w:r>
        <w:t xml:space="preserve">The core question is not simply whether CRH surpasses last year’s Q2 profit. Investors will focus on whether management:</w:t>
      </w:r>
    </w:p>
    <w:p>
      <w:pPr>
        <w:pStyle w:val="Compact"/>
        <w:numPr>
          <w:ilvl w:val="0"/>
          <w:numId w:val="1001"/>
        </w:numPr>
      </w:pPr>
      <w:r>
        <w:rPr>
          <w:b/>
          <w:bCs/>
        </w:rPr>
        <w:t xml:space="preserve">Reaffirms or raises FY2026 guidance</w:t>
      </w:r>
      <w:r>
        <w:t xml:space="preserve"> </w:t>
      </w:r>
      <w:r>
        <w:t xml:space="preserve">of</w:t>
      </w:r>
      <w:r>
        <w:t xml:space="preserve"> </w:t>
      </w:r>
      <m:oMath>
        <m:r>
          <m:t>8.1</m:t>
        </m:r>
        <m:r>
          <m:rPr>
            <m:sty m:val="p"/>
          </m:rPr>
          <m:t>–</m:t>
        </m:r>
      </m:oMath>
      <w:r>
        <w:rPr>
          <w:b/>
          <w:bCs/>
        </w:rPr>
        <w:t xml:space="preserve">8.5 billion Adjusted EBITDA</w:t>
      </w:r>
      <w:r>
        <w:t xml:space="preserve">,</w:t>
      </w:r>
      <w:r>
        <w:t xml:space="preserve"> </w:t>
      </w:r>
      <m:oMath>
        <m:r>
          <m:t>3.9</m:t>
        </m:r>
        <m:r>
          <m:rPr>
            <m:sty m:val="p"/>
          </m:rPr>
          <m:t>–</m:t>
        </m:r>
      </m:oMath>
      <w:r>
        <w:rPr>
          <w:b/>
          <w:bCs/>
        </w:rPr>
        <w:t xml:space="preserve">4.1 billion net income</w:t>
      </w:r>
      <w:r>
        <w:t xml:space="preserve">, and</w:t>
      </w:r>
      <w:r>
        <w:t xml:space="preserve"> </w:t>
      </w:r>
      <m:oMath>
        <m:r>
          <m:t>5.60</m:t>
        </m:r>
        <m:r>
          <m:rPr>
            <m:sty m:val="p"/>
          </m:rPr>
          <m:t>–</m:t>
        </m:r>
      </m:oMath>
      <w:r>
        <w:rPr>
          <w:b/>
          <w:bCs/>
        </w:rPr>
        <w:t xml:space="preserve">6.05 EPS</w:t>
      </w:r>
      <w:r>
        <w:t xml:space="preserve">;</w:t>
      </w:r>
    </w:p>
    <w:p>
      <w:pPr>
        <w:pStyle w:val="Compact"/>
        <w:numPr>
          <w:ilvl w:val="0"/>
          <w:numId w:val="1001"/>
        </w:numPr>
      </w:pPr>
      <w:r>
        <w:t xml:space="preserve">Demonstrates that strong Q1 infrastructure trends carried into the main construction season;</w:t>
      </w:r>
    </w:p>
    <w:p>
      <w:pPr>
        <w:pStyle w:val="Compact"/>
        <w:numPr>
          <w:ilvl w:val="0"/>
          <w:numId w:val="1001"/>
        </w:numPr>
      </w:pPr>
      <w:r>
        <w:t xml:space="preserve">Protects margins against higher energy, labor, raw-material, and subcontractor costs;</w:t>
      </w:r>
    </w:p>
    <w:p>
      <w:pPr>
        <w:pStyle w:val="Compact"/>
        <w:numPr>
          <w:ilvl w:val="0"/>
          <w:numId w:val="1001"/>
        </w:numPr>
      </w:pPr>
      <w:r>
        <w:t xml:space="preserve">Provides a clean update on portfolio actions—especially Axius Water, planned divestitures, and the pending Arcosa transaction; and</w:t>
      </w:r>
    </w:p>
    <w:p>
      <w:pPr>
        <w:pStyle w:val="Compact"/>
        <w:numPr>
          <w:ilvl w:val="0"/>
          <w:numId w:val="1001"/>
        </w:numPr>
      </w:pPr>
      <w:r>
        <w:t xml:space="preserve">Maintains confidence around balance-sheet capacity, funding costs, and its investment-grade credit profile.</w:t>
      </w:r>
    </w:p>
    <w:p>
      <w:pPr>
        <w:pStyle w:val="FirstParagraph"/>
      </w:pPr>
      <w:r>
        <w:t xml:space="preserve">Q2 is seasonally important: CRH generated</w:t>
      </w:r>
      <w:r>
        <w:t xml:space="preserve"> </w:t>
      </w:r>
      <m:oMath>
        <m:r>
          <m:t>10.2</m:t>
        </m:r>
        <m:r>
          <m:t>b</m:t>
        </m:r>
        <m:r>
          <m:t>i</m:t>
        </m:r>
        <m:r>
          <m:t>l</m:t>
        </m:r>
        <m:r>
          <m:t>l</m:t>
        </m:r>
        <m:r>
          <m:t>i</m:t>
        </m:r>
        <m:r>
          <m:t>o</m:t>
        </m:r>
        <m:r>
          <m:t>n</m:t>
        </m:r>
        <m:r>
          <m:t>o</m:t>
        </m:r>
        <m:r>
          <m:t>f</m:t>
        </m:r>
        <m:r>
          <m:t>r</m:t>
        </m:r>
        <m:r>
          <m:t>e</m:t>
        </m:r>
        <m:r>
          <m:t>v</m:t>
        </m:r>
        <m:r>
          <m:t>e</m:t>
        </m:r>
        <m:r>
          <m:t>n</m:t>
        </m:r>
        <m:r>
          <m:t>u</m:t>
        </m:r>
        <m:r>
          <m:t>e</m:t>
        </m:r>
        <m:r>
          <m:rPr>
            <m:sty m:val="p"/>
          </m:rPr>
          <m:t>*</m:t>
        </m:r>
        <m:r>
          <m:rPr>
            <m:sty m:val="p"/>
          </m:rPr>
          <m:t>*</m:t>
        </m:r>
        <m:r>
          <m:rPr>
            <m:sty m:val="p"/>
          </m:rPr>
          <m:t>,</m:t>
        </m:r>
        <m:r>
          <m:rPr>
            <m:sty m:val="p"/>
          </m:rPr>
          <m:t>*</m:t>
        </m:r>
        <m:r>
          <m:rPr>
            <m:sty m:val="p"/>
          </m:rPr>
          <m:t>*</m:t>
        </m:r>
      </m:oMath>
      <w:r>
        <w:rPr>
          <w:b/>
          <w:bCs/>
        </w:rPr>
        <w:t xml:space="preserve">2.46 billion of Adjusted EBITDA</w:t>
      </w:r>
      <w:r>
        <w:t xml:space="preserve">, and a</w:t>
      </w:r>
      <w:r>
        <w:t xml:space="preserve"> </w:t>
      </w:r>
      <w:r>
        <w:rPr>
          <w:b/>
          <w:bCs/>
        </w:rPr>
        <w:t xml:space="preserve">24.1% EBITDA margin</w:t>
      </w:r>
      <w:r>
        <w:t xml:space="preserve"> </w:t>
      </w:r>
      <w:r>
        <w:t xml:space="preserve">in Q2 2025. That creates a meaningful comparison base, but it also means a positive reaction likely requires more than an in-line result: investors will want confirmation that backlog, pricing, and margins support the high end of the full-year range.</w:t>
      </w:r>
    </w:p>
    <w:p>
      <w:r>
        <w:pict>
          <v:rect style="width:0;height:1.5pt" o:hralign="center" o:hrstd="t" o:hr="t"/>
        </w:pict>
      </w:r>
    </w:p>
    <w:bookmarkEnd w:id="9"/>
    <w:bookmarkStart w:id="10" w:name="what-crh-has-already-told-investors"/>
    <w:p>
      <w:pPr>
        <w:pStyle w:val="Heading2"/>
      </w:pPr>
      <w:r>
        <w:t xml:space="preserve">What CRH has already told investors</w:t>
      </w:r>
    </w:p>
    <w:p>
      <w:pPr>
        <w:pStyle w:val="FirstParagraph"/>
      </w:pPr>
      <w:r>
        <w:t xml:space="preserve">CRH started 2026 well. In Q1, revenue rose</w:t>
      </w:r>
      <w:r>
        <w:t xml:space="preserve"> </w:t>
      </w:r>
      <w:r>
        <w:rPr>
          <w:b/>
          <w:bCs/>
        </w:rPr>
        <w:t xml:space="preserve">9%</w:t>
      </w:r>
      <w:r>
        <w:t xml:space="preserve"> </w:t>
      </w:r>
      <w:r>
        <w:t xml:space="preserve">to</w:t>
      </w:r>
      <w:r>
        <w:t xml:space="preserve"> </w:t>
      </w:r>
      <m:oMath>
        <m:r>
          <m:t>7.37</m:t>
        </m:r>
        <m:r>
          <m:t>b</m:t>
        </m:r>
        <m:r>
          <m:t>i</m:t>
        </m:r>
        <m:r>
          <m:t>l</m:t>
        </m:r>
        <m:r>
          <m:t>l</m:t>
        </m:r>
        <m:r>
          <m:t>i</m:t>
        </m:r>
        <m:r>
          <m:t>o</m:t>
        </m:r>
        <m:r>
          <m:t>n</m:t>
        </m:r>
        <m:r>
          <m:rPr>
            <m:sty m:val="p"/>
          </m:rPr>
          <m:t>*</m:t>
        </m:r>
        <m:r>
          <m:rPr>
            <m:sty m:val="p"/>
          </m:rPr>
          <m:t>*</m:t>
        </m:r>
        <m:r>
          <m:rPr>
            <m:sty m:val="p"/>
          </m:rPr>
          <m:t>,</m:t>
        </m:r>
        <m:r>
          <m:t>w</m:t>
        </m:r>
        <m:r>
          <m:t>h</m:t>
        </m:r>
        <m:r>
          <m:t>i</m:t>
        </m:r>
        <m:r>
          <m:t>l</m:t>
        </m:r>
        <m:r>
          <m:t>e</m:t>
        </m:r>
        <m:r>
          <m:t>A</m:t>
        </m:r>
        <m:r>
          <m:t>d</m:t>
        </m:r>
        <m:r>
          <m:t>j</m:t>
        </m:r>
        <m:r>
          <m:t>u</m:t>
        </m:r>
        <m:r>
          <m:t>s</m:t>
        </m:r>
        <m:r>
          <m:t>t</m:t>
        </m:r>
        <m:r>
          <m:t>e</m:t>
        </m:r>
        <m:r>
          <m:t>d</m:t>
        </m:r>
        <m:r>
          <m:t>E</m:t>
        </m:r>
        <m:r>
          <m:t>B</m:t>
        </m:r>
        <m:r>
          <m:t>I</m:t>
        </m:r>
        <m:r>
          <m:t>T</m:t>
        </m:r>
        <m:r>
          <m:t>D</m:t>
        </m:r>
        <m:r>
          <m:t>A</m:t>
        </m:r>
        <m:r>
          <m:t>i</m:t>
        </m:r>
        <m:r>
          <m:t>n</m:t>
        </m:r>
        <m:r>
          <m:t>c</m:t>
        </m:r>
        <m:r>
          <m:t>r</m:t>
        </m:r>
        <m:r>
          <m:t>e</m:t>
        </m:r>
        <m:r>
          <m:t>a</m:t>
        </m:r>
        <m:r>
          <m:t>s</m:t>
        </m:r>
        <m:r>
          <m:t>e</m:t>
        </m:r>
        <m:r>
          <m:t>d</m:t>
        </m:r>
        <m:r>
          <m:rPr>
            <m:sty m:val="p"/>
          </m:rPr>
          <m:t>*</m:t>
        </m:r>
        <m:r>
          <m:rPr>
            <m:sty m:val="p"/>
          </m:rPr>
          <m:t>*</m:t>
        </m:r>
        <m:r>
          <m:t>18</m:t>
        </m:r>
      </m:oMath>
      <w:r>
        <w:rPr>
          <w:b/>
          <w:bCs/>
        </w:rPr>
        <w:t xml:space="preserve">586 million</w:t>
      </w:r>
      <w:r>
        <w:t xml:space="preserve">, with EBITDA margin expanding</w:t>
      </w:r>
      <w:r>
        <w:t xml:space="preserve"> </w:t>
      </w:r>
      <w:r>
        <w:rPr>
          <w:b/>
          <w:bCs/>
        </w:rPr>
        <w:t xml:space="preserve">70 bps</w:t>
      </w:r>
      <w:r>
        <w:t xml:space="preserve"> </w:t>
      </w:r>
      <w:r>
        <w:t xml:space="preserve">to</w:t>
      </w:r>
      <w:r>
        <w:t xml:space="preserve"> </w:t>
      </w:r>
      <w:r>
        <w:rPr>
          <w:b/>
          <w:bCs/>
        </w:rPr>
        <w:t xml:space="preserve">8.0%</w:t>
      </w:r>
      <w:r>
        <w:t xml:space="preserve">. The quarter benefited from early-season activity, commercial execution, and acquired businesses.</w:t>
      </w:r>
    </w:p>
    <w:p>
      <w:pPr>
        <w:pStyle w:val="BodyText"/>
      </w:pPr>
      <w:r>
        <w:t xml:space="preserve">The segment read-through was particularly favorable in</w:t>
      </w:r>
      <w:r>
        <w:t xml:space="preserve"> </w:t>
      </w:r>
      <w:r>
        <w:rPr>
          <w:b/>
          <w:bCs/>
        </w:rPr>
        <w:t xml:space="preserve">Americas Materials Solutions</w:t>
      </w:r>
      <w:r>
        <w:t xml:space="preserve">, where revenue increased</w:t>
      </w:r>
      <w:r>
        <w:t xml:space="preserve"> </w:t>
      </w:r>
      <w:r>
        <w:rPr>
          <w:b/>
          <w:bCs/>
        </w:rPr>
        <w:t xml:space="preserve">21%</w:t>
      </w:r>
      <w:r>
        <w:t xml:space="preserve"> </w:t>
      </w:r>
      <w:r>
        <w:t xml:space="preserve">and Adjusted EBITDA increased</w:t>
      </w:r>
      <w:r>
        <w:t xml:space="preserve"> </w:t>
      </w:r>
      <w:r>
        <w:rPr>
          <w:b/>
          <w:bCs/>
        </w:rPr>
        <w:t xml:space="preserve">75%</w:t>
      </w:r>
      <w:r>
        <w:t xml:space="preserve">. Aggregates volumes rose 14%, cement volumes rose 10%, asphalt volumes rose 13%, and ready-mix volumes rose 12%. Q1 is not the key earnings period for that business, but the performance suggested a strong entry into the paving and construction season.</w:t>
      </w:r>
    </w:p>
    <w:p>
      <w:pPr>
        <w:pStyle w:val="BodyText"/>
      </w:pPr>
      <w:r>
        <w:t xml:space="preserve">Management’s Q1 outlook called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FY2026 assumption</w:t>
            </w:r>
          </w:p>
        </w:tc>
        <w:tc>
          <w:tcPr/>
          <w:p>
            <w:pPr>
              <w:pStyle w:val="Compact"/>
            </w:pPr>
            <w:r>
              <w:t xml:space="preserve">Management commentary</w:t>
            </w:r>
          </w:p>
        </w:tc>
      </w:tr>
      <w:tr>
        <w:tc>
          <w:tcPr/>
          <w:p>
            <w:pPr>
              <w:pStyle w:val="Compact"/>
            </w:pPr>
            <w:r>
              <w:t xml:space="preserve">Aggregates</w:t>
            </w:r>
          </w:p>
        </w:tc>
        <w:tc>
          <w:tcPr/>
          <w:p>
            <w:pPr>
              <w:pStyle w:val="Compact"/>
            </w:pPr>
            <w:r>
              <w:t xml:space="preserve">Low-single-digit volume growth; mid-single-digit pricing</w:t>
            </w:r>
          </w:p>
        </w:tc>
      </w:tr>
      <w:tr>
        <w:tc>
          <w:tcPr/>
          <w:p>
            <w:pPr>
              <w:pStyle w:val="Compact"/>
            </w:pPr>
            <w:r>
              <w:t xml:space="preserve">Cement, Americas</w:t>
            </w:r>
          </w:p>
        </w:tc>
        <w:tc>
          <w:tcPr/>
          <w:p>
            <w:pPr>
              <w:pStyle w:val="Compact"/>
            </w:pPr>
            <w:r>
              <w:t xml:space="preserve">Low-single-digit volume and pricing growth</w:t>
            </w:r>
          </w:p>
        </w:tc>
      </w:tr>
      <w:tr>
        <w:tc>
          <w:tcPr/>
          <w:p>
            <w:pPr>
              <w:pStyle w:val="Compact"/>
            </w:pPr>
            <w:r>
              <w:t xml:space="preserve">International</w:t>
            </w:r>
          </w:p>
        </w:tc>
        <w:tc>
          <w:tcPr/>
          <w:p>
            <w:pPr>
              <w:pStyle w:val="Compact"/>
            </w:pPr>
            <w:r>
              <w:t xml:space="preserve">Low-single-digit volume growth; mid-single-digit pricing</w:t>
            </w:r>
          </w:p>
        </w:tc>
      </w:tr>
      <w:tr>
        <w:tc>
          <w:tcPr/>
          <w:p>
            <w:pPr>
              <w:pStyle w:val="Compact"/>
            </w:pPr>
            <w:r>
              <w:t xml:space="preserve">Inflation</w:t>
            </w:r>
          </w:p>
        </w:tc>
        <w:tc>
          <w:tcPr/>
          <w:p>
            <w:pPr>
              <w:pStyle w:val="Compact"/>
            </w:pPr>
            <w:r>
              <w:t xml:space="preserve">Mid-single-digit inflation across labor, raw materials, maintenance, and subcontractors</w:t>
            </w:r>
          </w:p>
        </w:tc>
      </w:tr>
      <w:tr>
        <w:tc>
          <w:tcPr/>
          <w:p>
            <w:pPr>
              <w:pStyle w:val="Compact"/>
            </w:pPr>
            <w:r>
              <w:t xml:space="preserve">Energy</w:t>
            </w:r>
          </w:p>
        </w:tc>
        <w:tc>
          <w:tcPr/>
          <w:p>
            <w:pPr>
              <w:pStyle w:val="Compact"/>
            </w:pPr>
            <w:r>
              <w:t xml:space="preserve">Roughly 5% of annual revenue; policy generally hedges costs on a rolling nine-month basis</w:t>
            </w:r>
          </w:p>
        </w:tc>
      </w:tr>
      <w:tr>
        <w:tc>
          <w:tcPr/>
          <w:p>
            <w:pPr>
              <w:pStyle w:val="Compact"/>
            </w:pPr>
            <w:r>
              <w:t xml:space="preserve">M&amp;A/divestitures</w:t>
            </w:r>
          </w:p>
        </w:tc>
        <w:tc>
          <w:tcPr/>
          <w:p>
            <w:pPr>
              <w:pStyle w:val="Compact"/>
            </w:pPr>
            <w:r>
              <w:t xml:space="preserve">Approximately</w:t>
            </w:r>
            <w:r>
              <w:t xml:space="preserve"> </w:t>
            </w:r>
            <w:r>
              <w:rPr>
                <w:b/>
                <w:bCs/>
              </w:rPr>
              <w:t xml:space="preserve">$200 million</w:t>
            </w:r>
            <w:r>
              <w:t xml:space="preserve"> </w:t>
            </w:r>
            <w:r>
              <w:t xml:space="preserve">of net incremental EBITDA contribution in 2026 from announced activity</w:t>
            </w:r>
          </w:p>
        </w:tc>
      </w:tr>
    </w:tbl>
    <w:p>
      <w:pPr>
        <w:pStyle w:val="BodyText"/>
      </w:pPr>
      <w:r>
        <w:t xml:space="preserve">The key point for Q2: management said its backlog and bidding indicators were improving year over year, supported by transportation, reindustrialization, water infrastructure, utility investment, and data-center construction. That backdrop should be visible in second-quarter materials volumes, paving activity, and Americas Building Solutions’ infrastructure businesses.</w:t>
      </w:r>
    </w:p>
    <w:p>
      <w:r>
        <w:pict>
          <v:rect style="width:0;height:1.5pt" o:hralign="center" o:hrstd="t" o:hr="t"/>
        </w:pict>
      </w:r>
    </w:p>
    <w:bookmarkEnd w:id="10"/>
    <w:bookmarkStart w:id="16" w:name="what-to-watch-in-the-release"/>
    <w:p>
      <w:pPr>
        <w:pStyle w:val="Heading2"/>
      </w:pPr>
      <w:r>
        <w:t xml:space="preserve">What to watch in the release</w:t>
      </w:r>
    </w:p>
    <w:bookmarkStart w:id="11" w:name="X35221121b14ad2004a22411fe117933b8d7bc62"/>
    <w:p>
      <w:pPr>
        <w:pStyle w:val="Heading3"/>
      </w:pPr>
      <w:r>
        <w:t xml:space="preserve">1. Americas Materials Solutions: the principal earnings driver</w:t>
      </w:r>
    </w:p>
    <w:p>
      <w:pPr>
        <w:pStyle w:val="FirstParagraph"/>
      </w:pPr>
      <w:r>
        <w:t xml:space="preserve">This is the most consequential segment for the quarter. In Q2 2025, the segment produced</w:t>
      </w:r>
      <w:r>
        <w:t xml:space="preserve"> </w:t>
      </w:r>
      <m:oMath>
        <m:r>
          <m:t>4.51</m:t>
        </m:r>
        <m:r>
          <m:t>b</m:t>
        </m:r>
        <m:r>
          <m:t>i</m:t>
        </m:r>
        <m:r>
          <m:t>l</m:t>
        </m:r>
        <m:r>
          <m:t>l</m:t>
        </m:r>
        <m:r>
          <m:t>i</m:t>
        </m:r>
        <m:r>
          <m:t>o</m:t>
        </m:r>
        <m:r>
          <m:t>n</m:t>
        </m:r>
        <m:r>
          <m:rPr>
            <m:sty m:val="p"/>
          </m:rPr>
          <m:t>*</m:t>
        </m:r>
        <m:r>
          <m:rPr>
            <m:sty m:val="p"/>
          </m:rPr>
          <m:t>*</m:t>
        </m:r>
        <m:r>
          <m:t>o</m:t>
        </m:r>
        <m:r>
          <m:t>f</m:t>
        </m:r>
        <m:r>
          <m:t>r</m:t>
        </m:r>
        <m:r>
          <m:t>e</m:t>
        </m:r>
        <m:r>
          <m:t>v</m:t>
        </m:r>
        <m:r>
          <m:t>e</m:t>
        </m:r>
        <m:r>
          <m:t>n</m:t>
        </m:r>
        <m:r>
          <m:t>u</m:t>
        </m:r>
        <m:r>
          <m:t>e</m:t>
        </m:r>
        <m:r>
          <m:t>a</m:t>
        </m:r>
        <m:r>
          <m:t>n</m:t>
        </m:r>
        <m:r>
          <m:t>d</m:t>
        </m:r>
        <m:r>
          <m:rPr>
            <m:sty m:val="p"/>
          </m:rPr>
          <m:t>*</m:t>
        </m:r>
        <m:r>
          <m:rPr>
            <m:sty m:val="p"/>
          </m:rPr>
          <m:t>*</m:t>
        </m:r>
      </m:oMath>
      <w:r>
        <w:rPr>
          <w:b/>
          <w:bCs/>
        </w:rPr>
        <w:t xml:space="preserve">1.24 billion</w:t>
      </w:r>
      <w:r>
        <w:t xml:space="preserve"> </w:t>
      </w:r>
      <w:r>
        <w:t xml:space="preserve">of Adjusted EBITDA, or a</w:t>
      </w:r>
      <w:r>
        <w:t xml:space="preserve"> </w:t>
      </w:r>
      <w:r>
        <w:rPr>
          <w:b/>
          <w:bCs/>
        </w:rPr>
        <w:t xml:space="preserve">27.5% margin</w:t>
      </w:r>
      <w:r>
        <w:t xml:space="preserve">.</w:t>
      </w:r>
    </w:p>
    <w:p>
      <w:pPr>
        <w:pStyle w:val="BodyText"/>
      </w:pPr>
      <w:r>
        <w:t xml:space="preserve">Investors should look for:</w:t>
      </w:r>
    </w:p>
    <w:p>
      <w:pPr>
        <w:pStyle w:val="Compact"/>
        <w:numPr>
          <w:ilvl w:val="0"/>
          <w:numId w:val="1002"/>
        </w:numPr>
      </w:pPr>
      <w:r>
        <w:rPr>
          <w:b/>
          <w:bCs/>
        </w:rPr>
        <w:t xml:space="preserve">Aggregates price realization</w:t>
      </w:r>
      <w:r>
        <w:t xml:space="preserve">, particularly mix-adjusted pricing;</w:t>
      </w:r>
    </w:p>
    <w:p>
      <w:pPr>
        <w:pStyle w:val="Compact"/>
        <w:numPr>
          <w:ilvl w:val="0"/>
          <w:numId w:val="1002"/>
        </w:numPr>
      </w:pPr>
      <w:r>
        <w:t xml:space="preserve">Cement pricing and volume trends by region;</w:t>
      </w:r>
    </w:p>
    <w:p>
      <w:pPr>
        <w:pStyle w:val="Compact"/>
        <w:numPr>
          <w:ilvl w:val="0"/>
          <w:numId w:val="1002"/>
        </w:numPr>
      </w:pPr>
      <w:r>
        <w:t xml:space="preserve">Asphalt, ready-mix, paving, and construction activity as the season accelerated;</w:t>
      </w:r>
    </w:p>
    <w:p>
      <w:pPr>
        <w:pStyle w:val="Compact"/>
        <w:numPr>
          <w:ilvl w:val="0"/>
          <w:numId w:val="1002"/>
        </w:numPr>
      </w:pPr>
      <w:r>
        <w:t xml:space="preserve">Evidence that robust state DOT budgets and federal infrastructure funding are converting into shipments and revenue;</w:t>
      </w:r>
    </w:p>
    <w:p>
      <w:pPr>
        <w:pStyle w:val="Compact"/>
        <w:numPr>
          <w:ilvl w:val="0"/>
          <w:numId w:val="1002"/>
        </w:numPr>
      </w:pPr>
      <w:r>
        <w:t xml:space="preserve">Margin performance despite fuel, freight, and input-cost volatility.</w:t>
      </w:r>
    </w:p>
    <w:p>
      <w:pPr>
        <w:pStyle w:val="FirstParagraph"/>
      </w:pPr>
      <w:r>
        <w:t xml:space="preserve">The Q1 call was encouraging: management characterized mix-adjusted aggregate pricing as up approximately 5%, consistent with its full-year mid-single-digit pricing expectation. Sustaining that level in Q2 would reinforce the margin-expansion case.</w:t>
      </w:r>
    </w:p>
    <w:bookmarkEnd w:id="11"/>
    <w:bookmarkStart w:id="12" w:name="Xc0e4d4d601dc1d7b19ecd06cbc096bd78c80444"/>
    <w:p>
      <w:pPr>
        <w:pStyle w:val="Heading3"/>
      </w:pPr>
      <w:r>
        <w:t xml:space="preserve">2. Americas Building Solutions: infrastructure strength versus housing softness</w:t>
      </w:r>
    </w:p>
    <w:p>
      <w:pPr>
        <w:pStyle w:val="FirstParagraph"/>
      </w:pPr>
      <w:r>
        <w:t xml:space="preserve">This segment is more mixed. In Q1, revenue fell 1%, as adverse weather and subdued new-build residential demand offset acquisitions and solid performance in utility infrastructure. The important offset was continued demand in</w:t>
      </w:r>
      <w:r>
        <w:t xml:space="preserve"> </w:t>
      </w:r>
      <w:r>
        <w:rPr>
          <w:b/>
          <w:bCs/>
        </w:rPr>
        <w:t xml:space="preserve">water infrastructure</w:t>
      </w:r>
      <w:r>
        <w:t xml:space="preserve"> </w:t>
      </w:r>
      <w:r>
        <w:t xml:space="preserve">and</w:t>
      </w:r>
      <w:r>
        <w:t xml:space="preserve"> </w:t>
      </w:r>
      <w:r>
        <w:rPr>
          <w:b/>
          <w:bCs/>
        </w:rPr>
        <w:t xml:space="preserve">data centers</w:t>
      </w:r>
      <w:r>
        <w:t xml:space="preserve">.</w:t>
      </w:r>
    </w:p>
    <w:p>
      <w:pPr>
        <w:pStyle w:val="BodyText"/>
      </w:pPr>
      <w:r>
        <w:t xml:space="preserve">For Q2, watch whether:</w:t>
      </w:r>
    </w:p>
    <w:p>
      <w:pPr>
        <w:pStyle w:val="Compact"/>
        <w:numPr>
          <w:ilvl w:val="0"/>
          <w:numId w:val="1003"/>
        </w:numPr>
      </w:pPr>
      <w:r>
        <w:t xml:space="preserve">Outdoor Living recovers from weather-related disruption;</w:t>
      </w:r>
    </w:p>
    <w:p>
      <w:pPr>
        <w:pStyle w:val="Compact"/>
        <w:numPr>
          <w:ilvl w:val="0"/>
          <w:numId w:val="1003"/>
        </w:numPr>
      </w:pPr>
      <w:r>
        <w:t xml:space="preserve">Repair-and-remodel remains resilient;</w:t>
      </w:r>
    </w:p>
    <w:p>
      <w:pPr>
        <w:pStyle w:val="Compact"/>
        <w:numPr>
          <w:ilvl w:val="0"/>
          <w:numId w:val="1003"/>
        </w:numPr>
      </w:pPr>
      <w:r>
        <w:t xml:space="preserve">New-build residential remains a manageable drag rather than deteriorating further;</w:t>
      </w:r>
    </w:p>
    <w:p>
      <w:pPr>
        <w:pStyle w:val="Compact"/>
        <w:numPr>
          <w:ilvl w:val="0"/>
          <w:numId w:val="1003"/>
        </w:numPr>
      </w:pPr>
      <w:r>
        <w:t xml:space="preserve">Utility, water, and data-center demand continues to offset housing weakness.</w:t>
      </w:r>
    </w:p>
    <w:p>
      <w:pPr>
        <w:pStyle w:val="FirstParagraph"/>
      </w:pPr>
      <w:r>
        <w:t xml:space="preserve">A stronger-than-expected Building Solutions result would be valuable because it would show that CRH’s infrastructure exposure is reducing its sensitivity to new residential construction.</w:t>
      </w:r>
    </w:p>
    <w:bookmarkEnd w:id="12"/>
    <w:bookmarkStart w:id="13" w:name="X24852d6b39e3801e197f9ab3cbc431676412e55"/>
    <w:p>
      <w:pPr>
        <w:pStyle w:val="Heading3"/>
      </w:pPr>
      <w:r>
        <w:t xml:space="preserve">3. International Solutions: pricing, Europe normalization, and Australia</w:t>
      </w:r>
    </w:p>
    <w:p>
      <w:pPr>
        <w:pStyle w:val="FirstParagraph"/>
      </w:pPr>
      <w:r>
        <w:t xml:space="preserve">International Solutions grew Q1 revenue 5% and Adjusted EBITDA 32%, with margin up 130 bps. Acquisitions, operational efficiencies, and pricing more than offset weather disruption and divestitures.</w:t>
      </w:r>
    </w:p>
    <w:p>
      <w:pPr>
        <w:pStyle w:val="BodyText"/>
      </w:pPr>
      <w:r>
        <w:t xml:space="preserve">The Q2 test is whether the recovery in European activity noted in March and April persisted, and whether Australia continues to contribute through demand, operational improvements, and synergy delivery. The segment’s comparison is more difficult: in Q2 2025, revenue rose 13% and EBITDA increased 23%.</w:t>
      </w:r>
    </w:p>
    <w:bookmarkEnd w:id="13"/>
    <w:bookmarkStart w:id="14" w:name="X3f7d409f9be2dd4c4dd52a7645d8114c901995d"/>
    <w:p>
      <w:pPr>
        <w:pStyle w:val="Heading3"/>
      </w:pPr>
      <w:r>
        <w:t xml:space="preserve">4. Guidance: reiteration may be acceptable, but cadence is crucial</w:t>
      </w:r>
    </w:p>
    <w:p>
      <w:pPr>
        <w:pStyle w:val="FirstParagraph"/>
      </w:pPr>
      <w:r>
        <w:t xml:space="preserve">CRH’s current FY2026 guidance implies another year of growth, but Q2 will reveal whether the business is tracking nearer the midpoint or high end of the EBITDA range.</w:t>
      </w:r>
    </w:p>
    <w:p>
      <w:pPr>
        <w:pStyle w:val="BodyText"/>
      </w:pPr>
      <w:r>
        <w:t xml:space="preserve">A</w:t>
      </w:r>
      <w:r>
        <w:t xml:space="preserve"> </w:t>
      </w:r>
      <w:r>
        <w:rPr>
          <w:b/>
          <w:bCs/>
        </w:rPr>
        <w:t xml:space="preserve">reaffirmation</w:t>
      </w:r>
      <w:r>
        <w:t xml:space="preserve"> </w:t>
      </w:r>
      <w:r>
        <w:t xml:space="preserve">would likely be taken constructively if it is paired with:</w:t>
      </w:r>
    </w:p>
    <w:p>
      <w:pPr>
        <w:pStyle w:val="Compact"/>
        <w:numPr>
          <w:ilvl w:val="0"/>
          <w:numId w:val="1004"/>
        </w:numPr>
      </w:pPr>
      <w:r>
        <w:t xml:space="preserve">Strong volume and pricing commentary;</w:t>
      </w:r>
    </w:p>
    <w:p>
      <w:pPr>
        <w:pStyle w:val="Compact"/>
        <w:numPr>
          <w:ilvl w:val="0"/>
          <w:numId w:val="1004"/>
        </w:numPr>
      </w:pPr>
      <w:r>
        <w:t xml:space="preserve">Continued backlog growth;</w:t>
      </w:r>
    </w:p>
    <w:p>
      <w:pPr>
        <w:pStyle w:val="Compact"/>
        <w:numPr>
          <w:ilvl w:val="0"/>
          <w:numId w:val="1004"/>
        </w:numPr>
      </w:pPr>
      <w:r>
        <w:t xml:space="preserve">Margin confidence despite input inflation; and</w:t>
      </w:r>
    </w:p>
    <w:p>
      <w:pPr>
        <w:pStyle w:val="Compact"/>
        <w:numPr>
          <w:ilvl w:val="0"/>
          <w:numId w:val="1004"/>
        </w:numPr>
      </w:pPr>
      <w:r>
        <w:t xml:space="preserve">No adverse change in the assumed macro, trade, or weather environment.</w:t>
      </w:r>
    </w:p>
    <w:p>
      <w:pPr>
        <w:pStyle w:val="FirstParagraph"/>
      </w:pPr>
      <w:r>
        <w:t xml:space="preserve">A</w:t>
      </w:r>
      <w:r>
        <w:t xml:space="preserve"> </w:t>
      </w:r>
      <w:r>
        <w:rPr>
          <w:b/>
          <w:bCs/>
        </w:rPr>
        <w:t xml:space="preserve">raise</w:t>
      </w:r>
      <w:r>
        <w:t xml:space="preserve"> </w:t>
      </w:r>
      <w:r>
        <w:t xml:space="preserve">would be a stronger catalyst, but management may remain cautious given the early stage of the construction season, energy volatility, trade-policy uncertainty, and the scale of pending capital deployment.</w:t>
      </w:r>
    </w:p>
    <w:bookmarkEnd w:id="14"/>
    <w:bookmarkStart w:id="15" w:name="X03ae6a645d70b9c120727e83919bf0407a600e9"/>
    <w:p>
      <w:pPr>
        <w:pStyle w:val="Heading3"/>
      </w:pPr>
      <w:r>
        <w:t xml:space="preserve">5. Portfolio management: Axius, divestitures, and Arcosa</w:t>
      </w:r>
    </w:p>
    <w:p>
      <w:pPr>
        <w:pStyle w:val="FirstParagraph"/>
      </w:pPr>
      <w:r>
        <w:t xml:space="preserve">CRH’s portfolio activity has become central to the equity story.</w:t>
      </w:r>
    </w:p>
    <w:p>
      <w:pPr>
        <w:pStyle w:val="BodyText"/>
      </w:pPr>
      <w:r>
        <w:rPr>
          <w:b/>
          <w:bCs/>
        </w:rPr>
        <w:t xml:space="preserve">Nearer-term items</w:t>
      </w:r>
    </w:p>
    <w:p>
      <w:pPr>
        <w:pStyle w:val="Compact"/>
        <w:numPr>
          <w:ilvl w:val="0"/>
          <w:numId w:val="1005"/>
        </w:numPr>
      </w:pPr>
      <w:r>
        <w:t xml:space="preserve">CRH agreed to acquire</w:t>
      </w:r>
      <w:r>
        <w:t xml:space="preserve"> </w:t>
      </w:r>
      <w:r>
        <w:rPr>
          <w:b/>
          <w:bCs/>
        </w:rPr>
        <w:t xml:space="preserve">Axius Water</w:t>
      </w:r>
      <w:r>
        <w:t xml:space="preserve"> </w:t>
      </w:r>
      <w:r>
        <w:t xml:space="preserve">for approximately</w:t>
      </w:r>
      <w:r>
        <w:t xml:space="preserve"> </w:t>
      </w:r>
      <w:r>
        <w:rPr>
          <w:b/>
          <w:bCs/>
        </w:rPr>
        <w:t xml:space="preserve">$700 million</w:t>
      </w:r>
      <w:r>
        <w:t xml:space="preserve">, with closing expected in Q2 2026.</w:t>
      </w:r>
    </w:p>
    <w:p>
      <w:pPr>
        <w:pStyle w:val="Compact"/>
        <w:numPr>
          <w:ilvl w:val="0"/>
          <w:numId w:val="1005"/>
        </w:numPr>
      </w:pPr>
      <w:r>
        <w:t xml:space="preserve">It also agreed to divest construction accessories, lawn and garden, and MoistureShield for total consideration of approximately</w:t>
      </w:r>
      <w:r>
        <w:t xml:space="preserve"> </w:t>
      </w:r>
      <w:r>
        <w:rPr>
          <w:b/>
          <w:bCs/>
        </w:rPr>
        <w:t xml:space="preserve">$1.9 billion</w:t>
      </w:r>
      <w:r>
        <w:t xml:space="preserve">. MoistureShield closed in April; the two larger divestitures had been expected to close in Q2.</w:t>
      </w:r>
    </w:p>
    <w:p>
      <w:pPr>
        <w:pStyle w:val="FirstParagraph"/>
      </w:pPr>
      <w:r>
        <w:t xml:space="preserve">Investors will want confirmation of closing timing, cash proceeds, any gain or impairment effects, and the expected 2026 earnings contribution.</w:t>
      </w:r>
    </w:p>
    <w:p>
      <w:pPr>
        <w:pStyle w:val="BodyText"/>
      </w:pPr>
      <w:r>
        <w:rPr>
          <w:b/>
          <w:bCs/>
        </w:rPr>
        <w:t xml:space="preserve">The strategic issue: Arcosa</w:t>
      </w:r>
    </w:p>
    <w:p>
      <w:pPr>
        <w:pStyle w:val="Compact"/>
        <w:numPr>
          <w:ilvl w:val="0"/>
          <w:numId w:val="1006"/>
        </w:numPr>
      </w:pPr>
      <w:r>
        <w:t xml:space="preserve">On June 22, CRH agreed to acquire Arcosa for</w:t>
      </w:r>
      <w:r>
        <w:t xml:space="preserve"> </w:t>
      </w:r>
      <m:oMath>
        <m:r>
          <m:t>150</m:t>
        </m:r>
        <m:r>
          <m:t>p</m:t>
        </m:r>
        <m:r>
          <m:t>e</m:t>
        </m:r>
        <m:r>
          <m:t>r</m:t>
        </m:r>
        <m:r>
          <m:t>s</m:t>
        </m:r>
        <m:r>
          <m:t>h</m:t>
        </m:r>
        <m:r>
          <m:t>a</m:t>
        </m:r>
        <m:r>
          <m:t>r</m:t>
        </m:r>
        <m:r>
          <m:t>e</m:t>
        </m:r>
        <m:r>
          <m:t>i</m:t>
        </m:r>
        <m:r>
          <m:t>n</m:t>
        </m:r>
        <m:r>
          <m:t>c</m:t>
        </m:r>
        <m:r>
          <m:t>a</m:t>
        </m:r>
        <m:r>
          <m:t>s</m:t>
        </m:r>
        <m:r>
          <m:t>h</m:t>
        </m:r>
        <m:r>
          <m:rPr>
            <m:sty m:val="p"/>
          </m:rPr>
          <m:t>*</m:t>
        </m:r>
        <m:r>
          <m:rPr>
            <m:sty m:val="p"/>
          </m:rPr>
          <m:t>*</m:t>
        </m:r>
        <m:r>
          <m:rPr>
            <m:sty m:val="p"/>
          </m:rPr>
          <m:t>,</m:t>
        </m:r>
        <m:r>
          <m:t>v</m:t>
        </m:r>
        <m:r>
          <m:t>a</m:t>
        </m:r>
        <m:r>
          <m:t>l</m:t>
        </m:r>
        <m:r>
          <m:t>u</m:t>
        </m:r>
        <m:r>
          <m:t>i</m:t>
        </m:r>
        <m:r>
          <m:t>n</m:t>
        </m:r>
        <m:r>
          <m:t>g</m:t>
        </m:r>
        <m:r>
          <m:t>t</m:t>
        </m:r>
        <m:r>
          <m:t>h</m:t>
        </m:r>
        <m:r>
          <m:t>e</m:t>
        </m:r>
        <m:r>
          <m:t>t</m:t>
        </m:r>
        <m:r>
          <m:t>a</m:t>
        </m:r>
        <m:r>
          <m:t>r</m:t>
        </m:r>
        <m:r>
          <m:t>g</m:t>
        </m:r>
        <m:r>
          <m:t>e</m:t>
        </m:r>
        <m:r>
          <m:t>t</m:t>
        </m:r>
        <m:r>
          <m:t>a</m:t>
        </m:r>
        <m:r>
          <m:t>t</m:t>
        </m:r>
        <m:r>
          <m:t>a</m:t>
        </m:r>
        <m:r>
          <m:t>p</m:t>
        </m:r>
        <m:r>
          <m:t>p</m:t>
        </m:r>
        <m:r>
          <m:t>r</m:t>
        </m:r>
        <m:r>
          <m:t>o</m:t>
        </m:r>
        <m:r>
          <m:t>x</m:t>
        </m:r>
        <m:r>
          <m:t>i</m:t>
        </m:r>
        <m:r>
          <m:t>m</m:t>
        </m:r>
        <m:r>
          <m:t>a</m:t>
        </m:r>
        <m:r>
          <m:t>t</m:t>
        </m:r>
        <m:r>
          <m:t>e</m:t>
        </m:r>
        <m:r>
          <m:t>l</m:t>
        </m:r>
        <m:r>
          <m:t>y</m:t>
        </m:r>
        <m:r>
          <m:rPr>
            <m:sty m:val="p"/>
          </m:rPr>
          <m:t>*</m:t>
        </m:r>
        <m:r>
          <m:rPr>
            <m:sty m:val="p"/>
          </m:rPr>
          <m:t>*</m:t>
        </m:r>
      </m:oMath>
      <w:r>
        <w:rPr>
          <w:b/>
          <w:bCs/>
        </w:rPr>
        <w:t xml:space="preserve">8.5 billion enterprise value</w:t>
      </w:r>
      <w:r>
        <w:t xml:space="preserve">.</w:t>
      </w:r>
    </w:p>
    <w:p>
      <w:pPr>
        <w:pStyle w:val="Compact"/>
        <w:numPr>
          <w:ilvl w:val="0"/>
          <w:numId w:val="1006"/>
        </w:numPr>
      </w:pPr>
      <w:r>
        <w:t xml:space="preserve">The deal is expected to close in</w:t>
      </w:r>
      <w:r>
        <w:t xml:space="preserve"> </w:t>
      </w:r>
      <w:r>
        <w:rPr>
          <w:b/>
          <w:bCs/>
        </w:rPr>
        <w:t xml:space="preserve">Q1 2027</w:t>
      </w:r>
      <w:r>
        <w:t xml:space="preserve">, subject to shareholder and regulatory approvals.</w:t>
      </w:r>
    </w:p>
    <w:p>
      <w:pPr>
        <w:pStyle w:val="Compact"/>
        <w:numPr>
          <w:ilvl w:val="0"/>
          <w:numId w:val="1006"/>
        </w:numPr>
      </w:pPr>
      <w:r>
        <w:t xml:space="preserve">CRH expects</w:t>
      </w:r>
      <w:r>
        <w:t xml:space="preserve"> </w:t>
      </w:r>
      <w:r>
        <w:rPr>
          <w:b/>
          <w:bCs/>
        </w:rPr>
        <w:t xml:space="preserve">$175 million of run-rate cost synergies by year three</w:t>
      </w:r>
      <w:r>
        <w:t xml:space="preserve">, and says the deal should be accretive to earnings, margins, and cash flow during the first 12 months after closing.</w:t>
      </w:r>
    </w:p>
    <w:p>
      <w:pPr>
        <w:pStyle w:val="Compact"/>
        <w:numPr>
          <w:ilvl w:val="0"/>
          <w:numId w:val="1006"/>
        </w:numPr>
      </w:pPr>
      <w:r>
        <w:t xml:space="preserve">The deal’s pro forma FY2026 net-debt-to-Adjusted-EBITDA ratio is expected to be</w:t>
      </w:r>
      <w:r>
        <w:t xml:space="preserve"> </w:t>
      </w:r>
      <w:r>
        <w:rPr>
          <w:b/>
          <w:bCs/>
        </w:rPr>
        <w:t xml:space="preserve">2.4x</w:t>
      </w:r>
      <w:r>
        <w:t xml:space="preserve">.</w:t>
      </w:r>
    </w:p>
    <w:p>
      <w:pPr>
        <w:pStyle w:val="FirstParagraph"/>
      </w:pPr>
      <w:r>
        <w:t xml:space="preserve">The acquisition strategically fits CRH’s aggregates-led infrastructure platform, adding Arcosa’s construction-products footprint and exposure to energy transmission and grid infrastructure. But it also raises the bar on capital allocation, integration, financing execution, and returns.</w:t>
      </w:r>
    </w:p>
    <w:p>
      <w:pPr>
        <w:pStyle w:val="BodyText"/>
      </w:pPr>
      <w:r>
        <w:t xml:space="preserve">CRH has already arranged a</w:t>
      </w:r>
      <w:r>
        <w:t xml:space="preserve"> </w:t>
      </w:r>
      <w:r>
        <w:rPr>
          <w:b/>
          <w:bCs/>
        </w:rPr>
        <w:t xml:space="preserve">$2.5 billion three-year term loan</w:t>
      </w:r>
      <w:r>
        <w:t xml:space="preserve">, reducing its bridge facility from $5.75 billion to $3.25 billion. The term loan is undrawn, carries SOFR-based pricing when borrowed, and has no financial covenants. Management expects to replace some or all of the remaining bridge financing before closing. That means Q2 should not contain a material operating contribution from Arcosa, but commentary on financing flexibility and transaction costs will matter.</w:t>
      </w:r>
    </w:p>
    <w:p>
      <w:r>
        <w:pict>
          <v:rect style="width:0;height:1.5pt" o:hralign="center" o:hrstd="t" o:hr="t"/>
        </w:pict>
      </w:r>
    </w:p>
    <w:bookmarkEnd w:id="15"/>
    <w:bookmarkEnd w:id="16"/>
    <w:bookmarkStart w:id="19" w:name="X035ab396a6f967f1846a0caedfa1f8f155b2020"/>
    <w:p>
      <w:pPr>
        <w:pStyle w:val="Heading2"/>
      </w:pPr>
      <w:r>
        <w:t xml:space="preserve">Earnings sensitivity: what could drive upside or downside?</w:t>
      </w:r>
    </w:p>
    <w:bookmarkStart w:id="17" w:name="potential-upside-catalysts"/>
    <w:p>
      <w:pPr>
        <w:pStyle w:val="Heading3"/>
      </w:pPr>
      <w:r>
        <w:t xml:space="preserve">Potential upside catalysts</w:t>
      </w:r>
    </w:p>
    <w:p>
      <w:pPr>
        <w:pStyle w:val="Compact"/>
        <w:numPr>
          <w:ilvl w:val="0"/>
          <w:numId w:val="1007"/>
        </w:numPr>
      </w:pPr>
      <w:r>
        <w:t xml:space="preserve">Infrastructure volumes that exceed low-single-digit expectations;</w:t>
      </w:r>
    </w:p>
    <w:p>
      <w:pPr>
        <w:pStyle w:val="Compact"/>
        <w:numPr>
          <w:ilvl w:val="0"/>
          <w:numId w:val="1007"/>
        </w:numPr>
      </w:pPr>
      <w:r>
        <w:t xml:space="preserve">Mix-adjusted aggregates pricing at or above the Q1 pace;</w:t>
      </w:r>
    </w:p>
    <w:p>
      <w:pPr>
        <w:pStyle w:val="Compact"/>
        <w:numPr>
          <w:ilvl w:val="0"/>
          <w:numId w:val="1007"/>
        </w:numPr>
      </w:pPr>
      <w:r>
        <w:t xml:space="preserve">Strong paving backlog conversion and improved Road Solutions activity;</w:t>
      </w:r>
    </w:p>
    <w:p>
      <w:pPr>
        <w:pStyle w:val="Compact"/>
        <w:numPr>
          <w:ilvl w:val="0"/>
          <w:numId w:val="1007"/>
        </w:numPr>
      </w:pPr>
      <w:r>
        <w:t xml:space="preserve">Better-than-feared Outdoor Living demand after Q1 weather disruption;</w:t>
      </w:r>
    </w:p>
    <w:p>
      <w:pPr>
        <w:pStyle w:val="Compact"/>
        <w:numPr>
          <w:ilvl w:val="0"/>
          <w:numId w:val="1007"/>
        </w:numPr>
      </w:pPr>
      <w:r>
        <w:t xml:space="preserve">International margin expansion continuing despite difficult comparisons;</w:t>
      </w:r>
    </w:p>
    <w:p>
      <w:pPr>
        <w:pStyle w:val="Compact"/>
        <w:numPr>
          <w:ilvl w:val="0"/>
          <w:numId w:val="1007"/>
        </w:numPr>
      </w:pPr>
      <w:r>
        <w:t xml:space="preserve">Confirmation that Axius and divestiture closings occurred on schedule;</w:t>
      </w:r>
    </w:p>
    <w:p>
      <w:pPr>
        <w:pStyle w:val="Compact"/>
        <w:numPr>
          <w:ilvl w:val="0"/>
          <w:numId w:val="1007"/>
        </w:numPr>
      </w:pPr>
      <w:r>
        <w:t xml:space="preserve">A firm FY2026 outlook or movement toward the high end of guidance;</w:t>
      </w:r>
    </w:p>
    <w:p>
      <w:pPr>
        <w:pStyle w:val="Compact"/>
        <w:numPr>
          <w:ilvl w:val="0"/>
          <w:numId w:val="1007"/>
        </w:numPr>
      </w:pPr>
      <w:r>
        <w:t xml:space="preserve">Clear reassurance that Arcosa financing will preserve CRH’s strong investment-grade profile.</w:t>
      </w:r>
    </w:p>
    <w:bookmarkEnd w:id="17"/>
    <w:bookmarkStart w:id="18" w:name="potential-downside-risks"/>
    <w:p>
      <w:pPr>
        <w:pStyle w:val="Heading3"/>
      </w:pPr>
      <w:r>
        <w:t xml:space="preserve">Potential downside risks</w:t>
      </w:r>
    </w:p>
    <w:p>
      <w:pPr>
        <w:pStyle w:val="Compact"/>
        <w:numPr>
          <w:ilvl w:val="0"/>
          <w:numId w:val="1008"/>
        </w:numPr>
      </w:pPr>
      <w:r>
        <w:t xml:space="preserve">Weather disruption during the key construction months;</w:t>
      </w:r>
    </w:p>
    <w:p>
      <w:pPr>
        <w:pStyle w:val="Compact"/>
        <w:numPr>
          <w:ilvl w:val="0"/>
          <w:numId w:val="1008"/>
        </w:numPr>
      </w:pPr>
      <w:r>
        <w:t xml:space="preserve">Energy, diesel, freight, labor, or materials inflation outpacing price recovery;</w:t>
      </w:r>
    </w:p>
    <w:p>
      <w:pPr>
        <w:pStyle w:val="Compact"/>
        <w:numPr>
          <w:ilvl w:val="0"/>
          <w:numId w:val="1008"/>
        </w:numPr>
      </w:pPr>
      <w:r>
        <w:t xml:space="preserve">Aggregate/cement price realization weakening due to regional or project mix;</w:t>
      </w:r>
    </w:p>
    <w:p>
      <w:pPr>
        <w:pStyle w:val="Compact"/>
        <w:numPr>
          <w:ilvl w:val="0"/>
          <w:numId w:val="1008"/>
        </w:numPr>
      </w:pPr>
      <w:r>
        <w:t xml:space="preserve">Slower residential new-build activity spilling into repair-and-remodel or Outdoor Living;</w:t>
      </w:r>
    </w:p>
    <w:p>
      <w:pPr>
        <w:pStyle w:val="Compact"/>
        <w:numPr>
          <w:ilvl w:val="0"/>
          <w:numId w:val="1008"/>
        </w:numPr>
      </w:pPr>
      <w:r>
        <w:t xml:space="preserve">Lower activity in Europe or Australia;</w:t>
      </w:r>
    </w:p>
    <w:p>
      <w:pPr>
        <w:pStyle w:val="Compact"/>
        <w:numPr>
          <w:ilvl w:val="0"/>
          <w:numId w:val="1008"/>
        </w:numPr>
      </w:pPr>
      <w:r>
        <w:t xml:space="preserve">A guidance posture that becomes more cautious because of macro or trade uncertainty;</w:t>
      </w:r>
    </w:p>
    <w:p>
      <w:pPr>
        <w:pStyle w:val="Compact"/>
        <w:numPr>
          <w:ilvl w:val="0"/>
          <w:numId w:val="1008"/>
        </w:numPr>
      </w:pPr>
      <w:r>
        <w:t xml:space="preserve">Concerns that the Arcosa deal raises leverage, financing expense, or integration risk more than expected.</w:t>
      </w:r>
    </w:p>
    <w:p>
      <w:r>
        <w:pict>
          <v:rect style="width:0;height:1.5pt" o:hralign="center" o:hrstd="t" o:hr="t"/>
        </w:pict>
      </w:r>
    </w:p>
    <w:bookmarkEnd w:id="18"/>
    <w:bookmarkEnd w:id="19"/>
    <w:bookmarkStart w:id="20" w:name="market-setup"/>
    <w:p>
      <w:pPr>
        <w:pStyle w:val="Heading2"/>
      </w:pPr>
      <w:r>
        <w:t xml:space="preserve">Market setup</w:t>
      </w:r>
    </w:p>
    <w:p>
      <w:pPr>
        <w:pStyle w:val="FirstParagraph"/>
      </w:pPr>
      <w:r>
        <w:t xml:space="preserve">CRH closed at</w:t>
      </w:r>
      <w:r>
        <w:t xml:space="preserve"> </w:t>
      </w:r>
      <w:r>
        <w:rPr>
          <w:b/>
          <w:bCs/>
        </w:rPr>
        <w:t xml:space="preserve">$100.26 on July 29</w:t>
      </w:r>
      <w:r>
        <w:t xml:space="preserve">, down approximately</w:t>
      </w:r>
      <w:r>
        <w:t xml:space="preserve"> </w:t>
      </w:r>
      <w:r>
        <w:rPr>
          <w:b/>
          <w:bCs/>
        </w:rPr>
        <w:t xml:space="preserve">20.7% year to date</w:t>
      </w:r>
      <w:r>
        <w:t xml:space="preserve"> </w:t>
      </w:r>
      <w:r>
        <w:t xml:space="preserve">and roughly</w:t>
      </w:r>
      <w:r>
        <w:t xml:space="preserve"> </w:t>
      </w:r>
      <w:r>
        <w:rPr>
          <w:b/>
          <w:bCs/>
        </w:rPr>
        <w:t xml:space="preserve">9.9% below</w:t>
      </w:r>
      <w:r>
        <w:t xml:space="preserve"> </w:t>
      </w:r>
      <w:r>
        <w:t xml:space="preserve">its June 22 close, the day its Arcosa acquisition was announced.</w:t>
      </w:r>
    </w:p>
    <w:p>
      <w:pPr>
        <w:pStyle w:val="BodyText"/>
      </w:pPr>
      <w:r>
        <w:t xml:space="preserve">That performance suggests investor attention has shifted from CRH’s historically reliable operating execution toward concerns around macro conditions and the financing/capital-allocation implications of the Arcosa transaction. Meanwhile, Arcosa traded at</w:t>
      </w:r>
      <w:r>
        <w:t xml:space="preserve"> </w:t>
      </w:r>
      <w:r>
        <w:rPr>
          <w:b/>
          <w:bCs/>
        </w:rPr>
        <w:t xml:space="preserve">$145.10</w:t>
      </w:r>
      <w:r>
        <w:t xml:space="preserve"> </w:t>
      </w:r>
      <w:r>
        <w:t xml:space="preserve">on July 29, about</w:t>
      </w:r>
      <w:r>
        <w:t xml:space="preserve"> </w:t>
      </w:r>
      <w:r>
        <w:rPr>
          <w:b/>
          <w:bCs/>
        </w:rPr>
        <w:t xml:space="preserve">3.4% below</w:t>
      </w:r>
      <w:r>
        <w:t xml:space="preserve"> </w:t>
      </w:r>
      <w:r>
        <w:t xml:space="preserve">CRH’s $150 per-share offer—indicating the market sees a meaningful, though not extreme, residual closing or timing risk.</w:t>
      </w:r>
    </w:p>
    <w:p>
      <w:r>
        <w:pict>
          <v:rect style="width:0;height:1.5pt" o:hralign="center" o:hrstd="t" o:hr="t"/>
        </w:pict>
      </w:r>
    </w:p>
    <w:bookmarkEnd w:id="20"/>
    <w:bookmarkStart w:id="21" w:name="bottom-line"/>
    <w:p>
      <w:pPr>
        <w:pStyle w:val="Heading2"/>
      </w:pPr>
      <w:r>
        <w:t xml:space="preserve">Bottom line</w:t>
      </w:r>
    </w:p>
    <w:p>
      <w:pPr>
        <w:pStyle w:val="FirstParagraph"/>
      </w:pPr>
      <w:r>
        <w:t xml:space="preserve">CRH has a favorable fundamental setup going into Q2: infrastructure, transportation, water, grid investment, and reindustrialization remain supportive; Q1 showed strong early-season momentum; pricing and acquisition contributions should remain tailwinds; and the company has a credible record of operational discipline.</w:t>
      </w:r>
    </w:p>
    <w:p>
      <w:pPr>
        <w:pStyle w:val="BodyText"/>
      </w:pPr>
      <w:r>
        <w:t xml:space="preserve">However, the report needs to accomplish two things at once:</w:t>
      </w:r>
    </w:p>
    <w:p>
      <w:pPr>
        <w:pStyle w:val="Compact"/>
        <w:numPr>
          <w:ilvl w:val="0"/>
          <w:numId w:val="1009"/>
        </w:numPr>
      </w:pPr>
      <w:r>
        <w:rPr>
          <w:b/>
          <w:bCs/>
        </w:rPr>
        <w:t xml:space="preserve">Validate the 2026 operating plan</w:t>
      </w:r>
      <w:r>
        <w:t xml:space="preserve"> </w:t>
      </w:r>
      <w:r>
        <w:t xml:space="preserve">through strong Americas Materials execution, sustained pricing, margin resilience, and confident full-year guidance; and</w:t>
      </w:r>
    </w:p>
    <w:p>
      <w:pPr>
        <w:pStyle w:val="Compact"/>
        <w:numPr>
          <w:ilvl w:val="0"/>
          <w:numId w:val="1009"/>
        </w:numPr>
      </w:pPr>
      <w:r>
        <w:rPr>
          <w:b/>
          <w:bCs/>
        </w:rPr>
        <w:t xml:space="preserve">De-risk the capital-allocation narrative</w:t>
      </w:r>
      <w:r>
        <w:t xml:space="preserve"> </w:t>
      </w:r>
      <w:r>
        <w:t xml:space="preserve">by showing orderly execution on divestitures, Axius integration, and Arcosa financing.</w:t>
      </w:r>
    </w:p>
    <w:p>
      <w:pPr>
        <w:pStyle w:val="FirstParagraph"/>
      </w:pPr>
      <w:r>
        <w:t xml:space="preserve">For investors, the highest-value datapoints will be aggregate price/volume trends, Road Solutions backlog conversion, the trajectory of segment margins, the status of Q2 portfolio closings, and management’s confidence that FY2026 EBITDA can land toward the upper half of the</w:t>
      </w:r>
      <w:r>
        <w:t xml:space="preserve"> </w:t>
      </w:r>
      <m:oMath>
        <m:r>
          <m:t>8.1</m:t>
        </m:r>
        <m:r>
          <m:rPr>
            <m:sty m:val="p"/>
          </m:rPr>
          <m:t>–</m:t>
        </m:r>
      </m:oMath>
      <w:r>
        <w:rPr>
          <w:b/>
          <w:bCs/>
        </w:rPr>
        <w:t xml:space="preserve">8.5 billion</w:t>
      </w:r>
      <w:r>
        <w:t xml:space="preserve"> </w:t>
      </w:r>
      <w:r>
        <w:t xml:space="preserve">range.</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2026-07-29T17:55:08Z</dcterms:created>
  <dcterms:modified xsi:type="dcterms:W3CDTF">2026-07-29T17:55:08Z</dcterms:modified>
</cp:coreProperties>
</file>

<file path=docProps/custom.xml><?xml version="1.0" encoding="utf-8"?>
<Properties xmlns="http://schemas.openxmlformats.org/officeDocument/2006/custom-properties" xmlns:vt="http://schemas.openxmlformats.org/officeDocument/2006/docPropsVTypes"/>
</file>