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CRH plc (CRH)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CRH plc</w:t>
            </w:r>
          </w:p>
        </w:tc>
      </w:tr>
      <w:tr>
        <w:tc>
          <w:tcPr>
            <w:tcW w:type="dxa" w:w="4320"/>
          </w:tcPr>
          <w:p>
            <w:r>
              <w:rPr>
                <w:rFonts w:ascii="Calibri" w:hAnsi="Calibri"/>
                <w:b/>
                <w:sz w:val="22"/>
              </w:rPr>
              <w:t>Ticker</w:t>
            </w:r>
          </w:p>
        </w:tc>
        <w:tc>
          <w:tcPr>
            <w:tcW w:type="dxa" w:w="4320"/>
          </w:tcPr>
          <w:p>
            <w:r>
              <w:rPr>
                <w:rFonts w:ascii="Calibri" w:hAnsi="Calibri"/>
                <w:sz w:val="22"/>
              </w:rPr>
              <w:t>NYSE: CRH</w:t>
            </w:r>
          </w:p>
        </w:tc>
      </w:tr>
      <w:tr>
        <w:tc>
          <w:tcPr>
            <w:tcW w:type="dxa" w:w="4320"/>
          </w:tcPr>
          <w:p>
            <w:r>
              <w:rPr>
                <w:rFonts w:ascii="Calibri" w:hAnsi="Calibri"/>
                <w:b/>
                <w:sz w:val="22"/>
              </w:rPr>
              <w:t>Upcoming Earnings Date</w:t>
            </w:r>
          </w:p>
        </w:tc>
        <w:tc>
          <w:tcPr>
            <w:tcW w:type="dxa" w:w="4320"/>
          </w:tcPr>
          <w:p>
            <w:r>
              <w:rPr>
                <w:rFonts w:ascii="Calibri" w:hAnsi="Calibri"/>
                <w:sz w:val="22"/>
              </w:rPr>
              <w:t>July 30, 2026 — Before Market Open</w:t>
            </w:r>
          </w:p>
        </w:tc>
      </w:tr>
      <w:tr>
        <w:tc>
          <w:tcPr>
            <w:tcW w:type="dxa" w:w="4320"/>
          </w:tcPr>
          <w:p>
            <w:r>
              <w:rPr>
                <w:rFonts w:ascii="Calibri" w:hAnsi="Calibri"/>
                <w:b/>
                <w:sz w:val="22"/>
              </w:rPr>
              <w:t>Preparation Date</w:t>
            </w:r>
          </w:p>
        </w:tc>
        <w:tc>
          <w:tcPr>
            <w:tcW w:type="dxa" w:w="4320"/>
          </w:tcPr>
          <w:p>
            <w:r>
              <w:rPr>
                <w:rFonts w:ascii="Calibri" w:hAnsi="Calibri"/>
                <w:sz w:val="22"/>
              </w:rPr>
              <w:t>July 29, 2026</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moderately constructive — consensus sits just below guidance midpoint on EBITDA, peers confirm robust infrastructure demand and solid aggregates pricing, but the stock has de-rated ~16% since Q1 earnings and the $8.5B Arcosa acquisition is the single biggest swing factor for tone and guidance.</w:t>
      </w:r>
    </w:p>
    <w:p>
      <w:r>
        <w:rPr>
          <w:rFonts w:ascii="Calibri" w:hAnsi="Calibri"/>
          <w:color w:val="525866"/>
          <w:sz w:val="22"/>
        </w:rPr>
        <w:t xml:space="preserve">Heading into Q2 2026, the bar for CRH looks achievable: consensus EBITDA of ~$2.60B sits roughly 3% below the Q1 2026 post-print baseline of ~$2.63B, implying the Street has modestly trimmed expectations since the April 30 print, creating a low-to-moderate hurdle. </w:t>
      </w:r>
      <w:r>
        <w:rPr>
          <w:rFonts w:ascii="Calibri" w:hAnsi="Calibri"/>
          <w:b/>
          <w:color w:val="525866"/>
          <w:sz w:val="22"/>
        </w:rPr>
        <w:t>Management reaffirmed full-year 2026 Adjusted EBITDA guidance of $8.1–$8.5B on the Q1 call</w:t>
      </w:r>
      <w:r>
        <w:rPr>
          <w:rFonts w:ascii="Calibri" w:hAnsi="Calibri"/>
          <w:color w:val="525866"/>
          <w:sz w:val="22"/>
        </w:rPr>
        <w:t xml:space="preserve"> and has not revised it since, while peers Vulcan Materials (VMC) and Eagle Materials (EXP) both reported healthy aggregates pricing (+5% YoY for VMC) and robust infrastructure backlogs in their most recent prints — a clear positive read-through for CRH’s Americas Materials segment. Estimate revisions have been marginally negative since Q1 (EBITDA -1.2% for Q2, -0.06% for FY), suggesting the Street is not chasing numbers higher but also not cutting aggressively, consistent with a cautious-but-stable tone. The stock has underperformed peers materially since Q1 earnings (-15.8% vs. VMC -5.9%, MLM -8.0%), reflecting both the </w:t>
      </w:r>
      <w:r>
        <w:rPr>
          <w:rFonts w:ascii="Calibri" w:hAnsi="Calibri"/>
          <w:b/>
          <w:color w:val="525866"/>
          <w:sz w:val="22"/>
        </w:rPr>
        <w:t>surprise CFO departure (Nancy Buese replaced by Aylwyn Bryan effective May 12)</w:t>
      </w:r>
      <w:r>
        <w:rPr>
          <w:rFonts w:ascii="Calibri" w:hAnsi="Calibri"/>
          <w:color w:val="525866"/>
          <w:sz w:val="22"/>
        </w:rPr>
        <w:t xml:space="preserve"> and investor digestion of the </w:t>
      </w:r>
      <w:r>
        <w:rPr>
          <w:rFonts w:ascii="Calibri" w:hAnsi="Calibri"/>
          <w:b/>
          <w:color w:val="525866"/>
          <w:sz w:val="22"/>
        </w:rPr>
        <w:t>$8.5B all-cash Arcosa acquisition announced June 22</w:t>
      </w:r>
      <w:r>
        <w:rPr>
          <w:rFonts w:ascii="Calibri" w:hAnsi="Calibri"/>
          <w:color w:val="525866"/>
          <w:sz w:val="22"/>
        </w:rPr>
        <w:t xml:space="preserve"> — the largest deal in CRH’s recent history, which pushed pro forma net leverage to ~2.4x. The wildcard is whether management updates FY 2026 guidance to reflect Arcosa’s expected Q1 2027 close and any incremental color on the highway bill reauthorization timeline, which CRH has flagged as a potential H2 2026 catalyst.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EBITDA estimates have drifted ~1% below the post-Q1 baseline, and revenue consensus of $10.71B implies solid 5% YoY growth. </w:t>
      </w:r>
      <w:r>
        <w:rPr>
          <w:rFonts w:ascii="Calibri" w:hAnsi="Calibri"/>
          <w:b/>
          <w:color w:val="525866"/>
          <w:sz w:val="22"/>
        </w:rPr>
        <w:t>Adjusted EBITDA margin is the bigger swing factor</w:t>
      </w:r>
      <w:r>
        <w:rPr>
          <w:rFonts w:ascii="Calibri" w:hAnsi="Calibri"/>
          <w:color w:val="525866"/>
          <w:sz w:val="22"/>
        </w:rPr>
        <w:t>: Q2 is CRH’s peak season and any upside in aggregates pricing or volume flow-through could drive a meaningful beat.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$7.37B</w:t>
            </w:r>
          </w:p>
        </w:tc>
        <w:tc>
          <w:tcPr>
            <w:tcW w:type="dxa" w:w="1234"/>
          </w:tcPr>
          <w:p>
            <w:r>
              <w:rPr>
                <w:rFonts w:ascii="Calibri" w:hAnsi="Calibri"/>
                <w:sz w:val="22"/>
              </w:rPr>
              <w:t>$10.21B</w:t>
            </w:r>
          </w:p>
        </w:tc>
        <w:tc>
          <w:tcPr>
            <w:tcW w:type="dxa" w:w="1234"/>
          </w:tcPr>
          <w:p>
            <w:r>
              <w:rPr>
                <w:rFonts w:ascii="Calibri" w:hAnsi="Calibri"/>
                <w:sz w:val="22"/>
              </w:rPr>
              <w:t>$10.71B</w:t>
            </w:r>
          </w:p>
        </w:tc>
        <w:tc>
          <w:tcPr>
            <w:tcW w:type="dxa" w:w="1234"/>
          </w:tcPr>
          <w:p>
            <w:r>
              <w:rPr>
                <w:rFonts w:ascii="Calibri" w:hAnsi="Calibri"/>
                <w:sz w:val="22"/>
              </w:rPr>
              <w:t>+4.9%</w:t>
            </w:r>
          </w:p>
        </w:tc>
        <w:tc>
          <w:tcPr>
            <w:tcW w:type="dxa" w:w="1234"/>
          </w:tcPr>
          <w:p>
            <w:r>
              <w:rPr>
                <w:rFonts w:ascii="Calibri" w:hAnsi="Calibri"/>
                <w:sz w:val="22"/>
              </w:rPr>
              <w:t>N/A (no quarterly guidance)</w:t>
            </w:r>
          </w:p>
        </w:tc>
        <w:tc>
          <w:tcPr>
            <w:tcW w:type="dxa" w:w="1234"/>
          </w:tcPr>
          <w:p>
            <w:r>
              <w:rPr>
                <w:rFonts w:ascii="Calibri" w:hAnsi="Calibri"/>
                <w:sz w:val="22"/>
              </w:rPr>
              <w:t>N/A</w:t>
            </w:r>
          </w:p>
        </w:tc>
      </w:tr>
      <w:tr>
        <w:tc>
          <w:tcPr>
            <w:tcW w:type="dxa" w:w="1234"/>
          </w:tcPr>
          <w:p>
            <w:r>
              <w:rPr>
                <w:rFonts w:ascii="Calibri" w:hAnsi="Calibri"/>
                <w:sz w:val="22"/>
              </w:rPr>
              <w:t>Adjusted EBITDA ($B)</w:t>
            </w:r>
          </w:p>
        </w:tc>
        <w:tc>
          <w:tcPr>
            <w:tcW w:type="dxa" w:w="1234"/>
          </w:tcPr>
          <w:p>
            <w:r>
              <w:rPr>
                <w:rFonts w:ascii="Calibri" w:hAnsi="Calibri"/>
                <w:sz w:val="22"/>
              </w:rPr>
              <w:t>$0.586B</w:t>
            </w:r>
          </w:p>
        </w:tc>
        <w:tc>
          <w:tcPr>
            <w:tcW w:type="dxa" w:w="1234"/>
          </w:tcPr>
          <w:p>
            <w:r>
              <w:rPr>
                <w:rFonts w:ascii="Calibri" w:hAnsi="Calibri"/>
                <w:sz w:val="22"/>
              </w:rPr>
              <w:t>$2.463B</w:t>
            </w:r>
          </w:p>
        </w:tc>
        <w:tc>
          <w:tcPr>
            <w:tcW w:type="dxa" w:w="1234"/>
          </w:tcPr>
          <w:p>
            <w:r>
              <w:rPr>
                <w:rFonts w:ascii="Calibri" w:hAnsi="Calibri"/>
                <w:sz w:val="22"/>
              </w:rPr>
              <w:t>$2.597B</w:t>
            </w:r>
          </w:p>
        </w:tc>
        <w:tc>
          <w:tcPr>
            <w:tcW w:type="dxa" w:w="1234"/>
          </w:tcPr>
          <w:p>
            <w:r>
              <w:rPr>
                <w:rFonts w:ascii="Calibri" w:hAnsi="Calibri"/>
                <w:sz w:val="22"/>
              </w:rPr>
              <w:t>+5.4%</w:t>
            </w:r>
          </w:p>
        </w:tc>
        <w:tc>
          <w:tcPr>
            <w:tcW w:type="dxa" w:w="1234"/>
          </w:tcPr>
          <w:p>
            <w:r>
              <w:rPr>
                <w:rFonts w:ascii="Calibri" w:hAnsi="Calibri"/>
                <w:sz w:val="22"/>
              </w:rPr>
              <w:t>$8.1–$8.5B (FY)</w:t>
            </w:r>
          </w:p>
        </w:tc>
        <w:tc>
          <w:tcPr>
            <w:tcW w:type="dxa" w:w="1234"/>
          </w:tcPr>
          <w:p>
            <w:r>
              <w:rPr>
                <w:rFonts w:ascii="Calibri" w:hAnsi="Calibri"/>
                <w:sz w:val="22"/>
              </w:rPr>
              <w:t>FY cons. $8.30B vs. midpoint $8.30B = ~0%</w:t>
            </w:r>
          </w:p>
        </w:tc>
      </w:tr>
      <w:tr>
        <w:tc>
          <w:tcPr>
            <w:tcW w:type="dxa" w:w="1234"/>
          </w:tcPr>
          <w:p>
            <w:r>
              <w:rPr>
                <w:rFonts w:ascii="Calibri" w:hAnsi="Calibri"/>
                <w:sz w:val="22"/>
              </w:rPr>
              <w:t>EPS — Diluted Operating ($)</w:t>
            </w:r>
          </w:p>
        </w:tc>
        <w:tc>
          <w:tcPr>
            <w:tcW w:type="dxa" w:w="1234"/>
          </w:tcPr>
          <w:p>
            <w:r>
              <w:rPr>
                <w:rFonts w:ascii="Calibri" w:hAnsi="Calibri"/>
                <w:sz w:val="22"/>
              </w:rPr>
              <w:t>-$0.27</w:t>
            </w:r>
          </w:p>
        </w:tc>
        <w:tc>
          <w:tcPr>
            <w:tcW w:type="dxa" w:w="1234"/>
          </w:tcPr>
          <w:p>
            <w:r>
              <w:rPr>
                <w:rFonts w:ascii="Calibri" w:hAnsi="Calibri"/>
                <w:sz w:val="22"/>
              </w:rPr>
              <w:t>$1.94</w:t>
            </w:r>
          </w:p>
        </w:tc>
        <w:tc>
          <w:tcPr>
            <w:tcW w:type="dxa" w:w="1234"/>
          </w:tcPr>
          <w:p>
            <w:r>
              <w:rPr>
                <w:rFonts w:ascii="Calibri" w:hAnsi="Calibri"/>
                <w:sz w:val="22"/>
              </w:rPr>
              <w:t>$2.06</w:t>
            </w:r>
          </w:p>
        </w:tc>
        <w:tc>
          <w:tcPr>
            <w:tcW w:type="dxa" w:w="1234"/>
          </w:tcPr>
          <w:p>
            <w:r>
              <w:rPr>
                <w:rFonts w:ascii="Calibri" w:hAnsi="Calibri"/>
                <w:sz w:val="22"/>
              </w:rPr>
              <w:t>+6.2%</w:t>
            </w:r>
          </w:p>
        </w:tc>
        <w:tc>
          <w:tcPr>
            <w:tcW w:type="dxa" w:w="1234"/>
          </w:tcPr>
          <w:p>
            <w:r>
              <w:rPr>
                <w:rFonts w:ascii="Calibri" w:hAnsi="Calibri"/>
                <w:sz w:val="22"/>
              </w:rPr>
              <w:t>$5.60–$6.05 (FY diluted EPS)</w:t>
            </w:r>
          </w:p>
        </w:tc>
        <w:tc>
          <w:tcPr>
            <w:tcW w:type="dxa" w:w="1234"/>
          </w:tcPr>
          <w:p>
            <w:r>
              <w:rPr>
                <w:rFonts w:ascii="Calibri" w:hAnsi="Calibri"/>
                <w:sz w:val="22"/>
              </w:rPr>
              <w:t>FY cons. $5.92 vs. midpoint $5.83 = +1.6%</w:t>
            </w:r>
          </w:p>
        </w:tc>
      </w:tr>
      <w:tr>
        <w:tc>
          <w:tcPr>
            <w:tcW w:type="dxa" w:w="1234"/>
          </w:tcPr>
          <w:p>
            <w:r>
              <w:rPr>
                <w:rFonts w:ascii="Calibri" w:hAnsi="Calibri"/>
                <w:sz w:val="22"/>
              </w:rPr>
              <w:t>Americas Materials EBITDA ($B)</w:t>
            </w:r>
          </w:p>
        </w:tc>
        <w:tc>
          <w:tcPr>
            <w:tcW w:type="dxa" w:w="1234"/>
          </w:tcPr>
          <w:p>
            <w:r>
              <w:rPr>
                <w:rFonts w:ascii="Calibri" w:hAnsi="Calibri"/>
                <w:sz w:val="22"/>
              </w:rPr>
              <w:t>$0.103B</w:t>
            </w:r>
          </w:p>
        </w:tc>
        <w:tc>
          <w:tcPr>
            <w:tcW w:type="dxa" w:w="1234"/>
          </w:tcPr>
          <w:p>
            <w:r>
              <w:rPr>
                <w:rFonts w:ascii="Calibri" w:hAnsi="Calibri"/>
                <w:sz w:val="22"/>
              </w:rPr>
              <w:t>$1.241B</w:t>
            </w:r>
          </w:p>
        </w:tc>
        <w:tc>
          <w:tcPr>
            <w:tcW w:type="dxa" w:w="1234"/>
          </w:tcPr>
          <w:p>
            <w:r>
              <w:rPr>
                <w:rFonts w:ascii="Calibri" w:hAnsi="Calibri"/>
                <w:sz w:val="22"/>
              </w:rPr>
              <w:t>$1.366B</w:t>
            </w:r>
          </w:p>
        </w:tc>
        <w:tc>
          <w:tcPr>
            <w:tcW w:type="dxa" w:w="1234"/>
          </w:tcPr>
          <w:p>
            <w:r>
              <w:rPr>
                <w:rFonts w:ascii="Calibri" w:hAnsi="Calibri"/>
                <w:sz w:val="22"/>
              </w:rPr>
              <w:t>+10.1%</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International EBITDA ($B)</w:t>
            </w:r>
          </w:p>
        </w:tc>
        <w:tc>
          <w:tcPr>
            <w:tcW w:type="dxa" w:w="1234"/>
          </w:tcPr>
          <w:p>
            <w:r>
              <w:rPr>
                <w:rFonts w:ascii="Calibri" w:hAnsi="Calibri"/>
                <w:sz w:val="22"/>
              </w:rPr>
              <w:t>$0.196B</w:t>
            </w:r>
          </w:p>
        </w:tc>
        <w:tc>
          <w:tcPr>
            <w:tcW w:type="dxa" w:w="1234"/>
          </w:tcPr>
          <w:p>
            <w:r>
              <w:rPr>
                <w:rFonts w:ascii="Calibri" w:hAnsi="Calibri"/>
                <w:sz w:val="22"/>
              </w:rPr>
              <w:t>$0.721B</w:t>
            </w:r>
          </w:p>
        </w:tc>
        <w:tc>
          <w:tcPr>
            <w:tcW w:type="dxa" w:w="1234"/>
          </w:tcPr>
          <w:p>
            <w:r>
              <w:rPr>
                <w:rFonts w:ascii="Calibri" w:hAnsi="Calibri"/>
                <w:sz w:val="22"/>
              </w:rPr>
              <w:t>$0.738B</w:t>
            </w:r>
          </w:p>
        </w:tc>
        <w:tc>
          <w:tcPr>
            <w:tcW w:type="dxa" w:w="1234"/>
          </w:tcPr>
          <w:p>
            <w:r>
              <w:rPr>
                <w:rFonts w:ascii="Calibri" w:hAnsi="Calibri"/>
                <w:sz w:val="22"/>
              </w:rPr>
              <w:t>+2.4%</w:t>
            </w:r>
          </w:p>
        </w:tc>
        <w:tc>
          <w:tcPr>
            <w:tcW w:type="dxa" w:w="1234"/>
          </w:tcPr>
          <w:p>
            <w:r>
              <w:rPr>
                <w:rFonts w:ascii="Calibri" w:hAnsi="Calibri"/>
                <w:sz w:val="22"/>
              </w:rPr>
              <w:t>N/A (segment)</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-$1.217B</w:t>
            </w:r>
          </w:p>
        </w:tc>
        <w:tc>
          <w:tcPr>
            <w:tcW w:type="dxa" w:w="1234"/>
          </w:tcPr>
          <w:p>
            <w:r>
              <w:rPr>
                <w:rFonts w:ascii="Calibri" w:hAnsi="Calibri"/>
                <w:sz w:val="22"/>
              </w:rPr>
              <w:t>$0.723B</w:t>
            </w:r>
          </w:p>
        </w:tc>
        <w:tc>
          <w:tcPr>
            <w:tcW w:type="dxa" w:w="1234"/>
          </w:tcPr>
          <w:p>
            <w:r>
              <w:rPr>
                <w:rFonts w:ascii="Calibri" w:hAnsi="Calibri"/>
                <w:sz w:val="22"/>
              </w:rPr>
              <w:t>$0.983B</w:t>
            </w:r>
          </w:p>
        </w:tc>
        <w:tc>
          <w:tcPr>
            <w:tcW w:type="dxa" w:w="1234"/>
          </w:tcPr>
          <w:p>
            <w:r>
              <w:rPr>
                <w:rFonts w:ascii="Calibri" w:hAnsi="Calibri"/>
                <w:sz w:val="22"/>
              </w:rPr>
              <w:t>+35.9%</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Q1 2026 Actual = last reported quarter (April 30, 2026). Q2 2025 Actual = prior year comparable period. Q2 2026 Consensus = latest Visible Alpha consensus as of July 29, 2026. FY 2026 Guidance per Q1 2026 earnings call (April 30, 2026).</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Adjusted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$2.255B</w:t>
            </w:r>
          </w:p>
        </w:tc>
        <w:tc>
          <w:tcPr>
            <w:tcW w:type="dxa" w:w="1728"/>
          </w:tcPr>
          <w:p>
            <w:r>
              <w:rPr>
                <w:rFonts w:ascii="Calibri" w:hAnsi="Calibri"/>
                <w:sz w:val="22"/>
              </w:rPr>
              <w:t>$2.152B</w:t>
            </w:r>
          </w:p>
        </w:tc>
        <w:tc>
          <w:tcPr>
            <w:tcW w:type="dxa" w:w="1728"/>
          </w:tcPr>
          <w:p>
            <w:r>
              <w:rPr>
                <w:rFonts w:ascii="Calibri" w:hAnsi="Calibri"/>
                <w:sz w:val="22"/>
              </w:rPr>
              <w:t>+4.8%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$2.454B</w:t>
            </w:r>
          </w:p>
        </w:tc>
        <w:tc>
          <w:tcPr>
            <w:tcW w:type="dxa" w:w="1728"/>
          </w:tcPr>
          <w:p>
            <w:r>
              <w:rPr>
                <w:rFonts w:ascii="Calibri" w:hAnsi="Calibri"/>
                <w:sz w:val="22"/>
              </w:rPr>
              <w:t>$2.441B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$1.776B</w:t>
            </w:r>
          </w:p>
        </w:tc>
        <w:tc>
          <w:tcPr>
            <w:tcW w:type="dxa" w:w="1728"/>
          </w:tcPr>
          <w:p>
            <w:r>
              <w:rPr>
                <w:rFonts w:ascii="Calibri" w:hAnsi="Calibri"/>
                <w:sz w:val="22"/>
              </w:rPr>
              <w:t>$1.773B</w:t>
            </w:r>
          </w:p>
        </w:tc>
        <w:tc>
          <w:tcPr>
            <w:tcW w:type="dxa" w:w="1728"/>
          </w:tcPr>
          <w:p>
            <w:r>
              <w:rPr>
                <w:rFonts w:ascii="Calibri" w:hAnsi="Calibri"/>
                <w:sz w:val="22"/>
              </w:rPr>
              <w:t>+0.2%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$0.495B</w:t>
            </w:r>
          </w:p>
        </w:tc>
        <w:tc>
          <w:tcPr>
            <w:tcW w:type="dxa" w:w="1728"/>
          </w:tcPr>
          <w:p>
            <w:r>
              <w:rPr>
                <w:rFonts w:ascii="Calibri" w:hAnsi="Calibri"/>
                <w:sz w:val="22"/>
              </w:rPr>
              <w:t>$0.498B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$2.463B</w:t>
            </w:r>
          </w:p>
        </w:tc>
        <w:tc>
          <w:tcPr>
            <w:tcW w:type="dxa" w:w="1728"/>
          </w:tcPr>
          <w:p>
            <w:r>
              <w:rPr>
                <w:rFonts w:ascii="Calibri" w:hAnsi="Calibri"/>
                <w:sz w:val="22"/>
              </w:rPr>
              <w:t>$2.411B</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$2.695B</w:t>
            </w:r>
          </w:p>
        </w:tc>
        <w:tc>
          <w:tcPr>
            <w:tcW w:type="dxa" w:w="1728"/>
          </w:tcPr>
          <w:p>
            <w:r>
              <w:rPr>
                <w:rFonts w:ascii="Calibri" w:hAnsi="Calibri"/>
                <w:sz w:val="22"/>
              </w:rPr>
              <w:t>$2.686B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$2.028B</w:t>
            </w:r>
          </w:p>
        </w:tc>
        <w:tc>
          <w:tcPr>
            <w:tcW w:type="dxa" w:w="1728"/>
          </w:tcPr>
          <w:p>
            <w:r>
              <w:rPr>
                <w:rFonts w:ascii="Calibri" w:hAnsi="Calibri"/>
                <w:sz w:val="22"/>
              </w:rPr>
              <w:t>$2.000B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$0.586B</w:t>
            </w:r>
          </w:p>
        </w:tc>
        <w:tc>
          <w:tcPr>
            <w:tcW w:type="dxa" w:w="1728"/>
          </w:tcPr>
          <w:p>
            <w:r>
              <w:rPr>
                <w:rFonts w:ascii="Calibri" w:hAnsi="Calibri"/>
                <w:sz w:val="22"/>
              </w:rPr>
              <w:t>$0.544B</w:t>
            </w:r>
          </w:p>
        </w:tc>
        <w:tc>
          <w:tcPr>
            <w:tcW w:type="dxa" w:w="1728"/>
          </w:tcPr>
          <w:p>
            <w:r>
              <w:rPr>
                <w:rFonts w:ascii="Calibri" w:hAnsi="Calibri"/>
                <w:sz w:val="22"/>
              </w:rPr>
              <w:t>+7.7%</w:t>
            </w:r>
          </w:p>
        </w:tc>
        <w:tc>
          <w:tcPr>
            <w:tcW w:type="dxa" w:w="1728"/>
          </w:tcPr>
          <w:p>
            <w:r>
              <w:rPr>
                <w:rFonts w:ascii="Calibri" w:hAnsi="Calibri"/>
                <w:b/>
                <w:color w:val="30A46C"/>
                <w:sz w:val="22"/>
              </w:rPr>
              <w:t>Beat</w:t>
            </w:r>
          </w:p>
        </w:tc>
      </w:tr>
    </w:tbl>
    <w:p>
      <w:pPr>
        <w:pStyle w:val="Heading4"/>
      </w:pPr>
      <w:r>
        <w:rPr>
          <w:rFonts w:ascii="Calibri" w:hAnsi="Calibri"/>
          <w:b/>
          <w:color w:val="3B4259"/>
          <w:sz w:val="22"/>
        </w:rPr>
        <w:t>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$1.88</w:t>
            </w:r>
          </w:p>
        </w:tc>
        <w:tc>
          <w:tcPr>
            <w:tcW w:type="dxa" w:w="1728"/>
          </w:tcPr>
          <w:p>
            <w:r>
              <w:rPr>
                <w:rFonts w:ascii="Calibri" w:hAnsi="Calibri"/>
                <w:sz w:val="22"/>
              </w:rPr>
              <w:t>$1.78</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$1.97</w:t>
            </w:r>
          </w:p>
        </w:tc>
        <w:tc>
          <w:tcPr>
            <w:tcW w:type="dxa" w:w="1728"/>
          </w:tcPr>
          <w:p>
            <w:r>
              <w:rPr>
                <w:rFonts w:ascii="Calibri" w:hAnsi="Calibri"/>
                <w:sz w:val="22"/>
              </w:rPr>
              <w:t>$2.09</w:t>
            </w:r>
          </w:p>
        </w:tc>
        <w:tc>
          <w:tcPr>
            <w:tcW w:type="dxa" w:w="1728"/>
          </w:tcPr>
          <w:p>
            <w:r>
              <w:rPr>
                <w:rFonts w:ascii="Calibri" w:hAnsi="Calibri"/>
                <w:sz w:val="22"/>
              </w:rPr>
              <w:t>-5.7%</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$1.02</w:t>
            </w:r>
          </w:p>
        </w:tc>
        <w:tc>
          <w:tcPr>
            <w:tcW w:type="dxa" w:w="1728"/>
          </w:tcPr>
          <w:p>
            <w:r>
              <w:rPr>
                <w:rFonts w:ascii="Calibri" w:hAnsi="Calibri"/>
                <w:sz w:val="22"/>
              </w:rPr>
              <w:t>$1.46</w:t>
            </w:r>
          </w:p>
        </w:tc>
        <w:tc>
          <w:tcPr>
            <w:tcW w:type="dxa" w:w="1728"/>
          </w:tcPr>
          <w:p>
            <w:r>
              <w:rPr>
                <w:rFonts w:ascii="Calibri" w:hAnsi="Calibri"/>
                <w:sz w:val="22"/>
              </w:rPr>
              <w:t>-30.2%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-$0.15</w:t>
            </w:r>
          </w:p>
        </w:tc>
        <w:tc>
          <w:tcPr>
            <w:tcW w:type="dxa" w:w="1728"/>
          </w:tcPr>
          <w:p>
            <w:r>
              <w:rPr>
                <w:rFonts w:ascii="Calibri" w:hAnsi="Calibri"/>
                <w:sz w:val="22"/>
              </w:rPr>
              <w:t>-$0.05</w:t>
            </w:r>
          </w:p>
        </w:tc>
        <w:tc>
          <w:tcPr>
            <w:tcW w:type="dxa" w:w="1728"/>
          </w:tcPr>
          <w:p>
            <w:r>
              <w:rPr>
                <w:rFonts w:ascii="Calibri" w:hAnsi="Calibri"/>
                <w:sz w:val="22"/>
              </w:rPr>
              <w:t>N/M (loss quarter)</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$1.94</w:t>
            </w:r>
          </w:p>
        </w:tc>
        <w:tc>
          <w:tcPr>
            <w:tcW w:type="dxa" w:w="1728"/>
          </w:tcPr>
          <w:p>
            <w:r>
              <w:rPr>
                <w:rFonts w:ascii="Calibri" w:hAnsi="Calibri"/>
                <w:sz w:val="22"/>
              </w:rPr>
              <w:t>$1.89</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$2.21</w:t>
            </w:r>
          </w:p>
        </w:tc>
        <w:tc>
          <w:tcPr>
            <w:tcW w:type="dxa" w:w="1728"/>
          </w:tcPr>
          <w:p>
            <w:r>
              <w:rPr>
                <w:rFonts w:ascii="Calibri" w:hAnsi="Calibri"/>
                <w:sz w:val="22"/>
              </w:rPr>
              <w:t>$2.13</w:t>
            </w:r>
          </w:p>
        </w:tc>
        <w:tc>
          <w:tcPr>
            <w:tcW w:type="dxa" w:w="1728"/>
          </w:tcPr>
          <w:p>
            <w:r>
              <w:rPr>
                <w:rFonts w:ascii="Calibri" w:hAnsi="Calibri"/>
                <w:sz w:val="22"/>
              </w:rPr>
              <w:t>+3.6%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$1.52</w:t>
            </w:r>
          </w:p>
        </w:tc>
        <w:tc>
          <w:tcPr>
            <w:tcW w:type="dxa" w:w="1728"/>
          </w:tcPr>
          <w:p>
            <w:r>
              <w:rPr>
                <w:rFonts w:ascii="Calibri" w:hAnsi="Calibri"/>
                <w:sz w:val="22"/>
              </w:rPr>
              <w:t>$1.53</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-$0.27</w:t>
            </w:r>
          </w:p>
        </w:tc>
        <w:tc>
          <w:tcPr>
            <w:tcW w:type="dxa" w:w="1728"/>
          </w:tcPr>
          <w:p>
            <w:r>
              <w:rPr>
                <w:rFonts w:ascii="Calibri" w:hAnsi="Calibri"/>
                <w:sz w:val="22"/>
              </w:rPr>
              <w:t>-$0.22</w:t>
            </w:r>
          </w:p>
        </w:tc>
        <w:tc>
          <w:tcPr>
            <w:tcW w:type="dxa" w:w="1728"/>
          </w:tcPr>
          <w:p>
            <w:r>
              <w:rPr>
                <w:rFonts w:ascii="Calibri" w:hAnsi="Calibri"/>
                <w:sz w:val="22"/>
              </w:rPr>
              <w:t>N/M (loss quarter)</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CRH has beaten Adjusted EBITDA consensus in 7 of the last 8 quarters — a strong track record of delivering at or above the bar. Operating EPS beats are less consistent due to impairment charges and one-off items in Q3/Q4 2024, but on an adjusted EBITDA basis the company consistently outperforms.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FY 2026 guidance has been unchanged since the Q1 2026 earnings call on April 30 — no post-earnings revisions have been issued. Management tone remains confident on infrastructure demand and pricing, though the Arcosa acquisition introduces a new capital allocation narrative that investors will want addressed.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EBITDA</w:t>
            </w:r>
          </w:p>
        </w:tc>
        <w:tc>
          <w:tcPr>
            <w:tcW w:type="dxa" w:w="1728"/>
          </w:tcPr>
          <w:p>
            <w:r>
              <w:rPr>
                <w:rFonts w:ascii="Calibri" w:hAnsi="Calibri"/>
                <w:sz w:val="22"/>
              </w:rPr>
              <w:t>$8.1B – $8.5B</w:t>
            </w:r>
          </w:p>
        </w:tc>
        <w:tc>
          <w:tcPr>
            <w:tcW w:type="dxa" w:w="1728"/>
          </w:tcPr>
          <w:p>
            <w:r>
              <w:rPr>
                <w:rFonts w:ascii="Calibri" w:hAnsi="Calibri"/>
                <w:sz w:val="22"/>
              </w:rPr>
              <w:t>— (unchanged)</w:t>
            </w:r>
          </w:p>
        </w:tc>
        <w:tc>
          <w:tcPr>
            <w:tcW w:type="dxa" w:w="1728"/>
          </w:tcPr>
          <w:p>
            <w:r>
              <w:rPr>
                <w:rFonts w:ascii="Calibri" w:hAnsi="Calibri"/>
                <w:sz w:val="22"/>
              </w:rPr>
              <w:t>$8.30B</w:t>
            </w:r>
          </w:p>
        </w:tc>
        <w:tc>
          <w:tcPr>
            <w:tcW w:type="dxa" w:w="1728"/>
          </w:tcPr>
          <w:p>
            <w:r>
              <w:rPr>
                <w:rFonts w:ascii="Calibri" w:hAnsi="Calibri"/>
                <w:sz w:val="22"/>
              </w:rPr>
              <w:t>Reaffirmed on Q1 call; consensus sits at midpoint. No post-earnings update.</w:t>
            </w:r>
          </w:p>
        </w:tc>
      </w:tr>
      <w:tr>
        <w:tc>
          <w:tcPr>
            <w:tcW w:type="dxa" w:w="1728"/>
          </w:tcPr>
          <w:p>
            <w:r>
              <w:rPr>
                <w:rFonts w:ascii="Calibri" w:hAnsi="Calibri"/>
                <w:sz w:val="22"/>
              </w:rPr>
              <w:t>FY 2026 Diluted EPS</w:t>
            </w:r>
          </w:p>
        </w:tc>
        <w:tc>
          <w:tcPr>
            <w:tcW w:type="dxa" w:w="1728"/>
          </w:tcPr>
          <w:p>
            <w:r>
              <w:rPr>
                <w:rFonts w:ascii="Calibri" w:hAnsi="Calibri"/>
                <w:sz w:val="22"/>
              </w:rPr>
              <w:t>$5.60 – $6.05</w:t>
            </w:r>
          </w:p>
        </w:tc>
        <w:tc>
          <w:tcPr>
            <w:tcW w:type="dxa" w:w="1728"/>
          </w:tcPr>
          <w:p>
            <w:r>
              <w:rPr>
                <w:rFonts w:ascii="Calibri" w:hAnsi="Calibri"/>
                <w:sz w:val="22"/>
              </w:rPr>
              <w:t>— (unchanged)</w:t>
            </w:r>
          </w:p>
        </w:tc>
        <w:tc>
          <w:tcPr>
            <w:tcW w:type="dxa" w:w="1728"/>
          </w:tcPr>
          <w:p>
            <w:r>
              <w:rPr>
                <w:rFonts w:ascii="Calibri" w:hAnsi="Calibri"/>
                <w:sz w:val="22"/>
              </w:rPr>
              <w:t>$5.92</w:t>
            </w:r>
          </w:p>
        </w:tc>
        <w:tc>
          <w:tcPr>
            <w:tcW w:type="dxa" w:w="1728"/>
          </w:tcPr>
          <w:p>
            <w:r>
              <w:rPr>
                <w:rFonts w:ascii="Calibri" w:hAnsi="Calibri"/>
                <w:sz w:val="22"/>
              </w:rPr>
              <w:t>Consensus +1.6% above midpoint $5.83. No post-earnings update.</w:t>
            </w:r>
          </w:p>
        </w:tc>
      </w:tr>
      <w:tr>
        <w:tc>
          <w:tcPr>
            <w:tcW w:type="dxa" w:w="1728"/>
          </w:tcPr>
          <w:p>
            <w:r>
              <w:rPr>
                <w:rFonts w:ascii="Calibri" w:hAnsi="Calibri"/>
                <w:sz w:val="22"/>
              </w:rPr>
              <w:t>FY 2026 Net Income</w:t>
            </w:r>
          </w:p>
        </w:tc>
        <w:tc>
          <w:tcPr>
            <w:tcW w:type="dxa" w:w="1728"/>
          </w:tcPr>
          <w:p>
            <w:r>
              <w:rPr>
                <w:rFonts w:ascii="Calibri" w:hAnsi="Calibri"/>
                <w:sz w:val="22"/>
              </w:rPr>
              <w:t>$3.9B – $4.1B</w:t>
            </w:r>
          </w:p>
        </w:tc>
        <w:tc>
          <w:tcPr>
            <w:tcW w:type="dxa" w:w="1728"/>
          </w:tcPr>
          <w:p>
            <w:r>
              <w:rPr>
                <w:rFonts w:ascii="Calibri" w:hAnsi="Calibri"/>
                <w:sz w:val="22"/>
              </w:rPr>
              <w:t>— (unchanged)</w:t>
            </w:r>
          </w:p>
        </w:tc>
        <w:tc>
          <w:tcPr>
            <w:tcW w:type="dxa" w:w="1728"/>
          </w:tcPr>
          <w:p>
            <w:r>
              <w:rPr>
                <w:rFonts w:ascii="Calibri" w:hAnsi="Calibri"/>
                <w:sz w:val="22"/>
              </w:rPr>
              <w:t>N/A — not tracked separately in VA</w:t>
            </w:r>
          </w:p>
        </w:tc>
        <w:tc>
          <w:tcPr>
            <w:tcW w:type="dxa" w:w="1728"/>
          </w:tcPr>
          <w:p>
            <w:r>
              <w:rPr>
                <w:rFonts w:ascii="Calibri" w:hAnsi="Calibri"/>
                <w:sz w:val="22"/>
              </w:rPr>
              <w:t>Guidance per Q1 2026 earnings call. No revision.</w:t>
            </w:r>
          </w:p>
        </w:tc>
      </w:tr>
      <w:tr>
        <w:tc>
          <w:tcPr>
            <w:tcW w:type="dxa" w:w="1728"/>
          </w:tcPr>
          <w:p>
            <w:r>
              <w:rPr>
                <w:rFonts w:ascii="Calibri" w:hAnsi="Calibri"/>
                <w:sz w:val="22"/>
              </w:rPr>
              <w:t>Aggregates Pricing (FY 2026)</w:t>
            </w:r>
          </w:p>
        </w:tc>
        <w:tc>
          <w:tcPr>
            <w:tcW w:type="dxa" w:w="1728"/>
          </w:tcPr>
          <w:p>
            <w:r>
              <w:rPr>
                <w:rFonts w:ascii="Calibri" w:hAnsi="Calibri"/>
                <w:sz w:val="22"/>
              </w:rPr>
              <w:t>Mid-single-digit improvement</w:t>
            </w:r>
          </w:p>
        </w:tc>
        <w:tc>
          <w:tcPr>
            <w:tcW w:type="dxa" w:w="1728"/>
          </w:tcPr>
          <w:p>
            <w:r>
              <w:rPr>
                <w:rFonts w:ascii="Calibri" w:hAnsi="Calibri"/>
                <w:sz w:val="22"/>
              </w:rPr>
              <w:t>— (unchanged)</w:t>
            </w:r>
          </w:p>
        </w:tc>
        <w:tc>
          <w:tcPr>
            <w:tcW w:type="dxa" w:w="1728"/>
          </w:tcPr>
          <w:p>
            <w:r>
              <w:rPr>
                <w:rFonts w:ascii="Calibri" w:hAnsi="Calibri"/>
                <w:sz w:val="22"/>
              </w:rPr>
              <w:t>N/A — qualitative</w:t>
            </w:r>
          </w:p>
        </w:tc>
        <w:tc>
          <w:tcPr>
            <w:tcW w:type="dxa" w:w="1728"/>
          </w:tcPr>
          <w:p>
            <w:r>
              <w:rPr>
                <w:rFonts w:ascii="Calibri" w:hAnsi="Calibri"/>
                <w:sz w:val="22"/>
              </w:rPr>
              <w:t>Q1 mix-adjusted pricing +5% YoY; management called this indicative of full-year expectation.</w:t>
            </w:r>
          </w:p>
        </w:tc>
      </w:tr>
      <w:tr>
        <w:tc>
          <w:tcPr>
            <w:tcW w:type="dxa" w:w="1728"/>
          </w:tcPr>
          <w:p>
            <w:r>
              <w:rPr>
                <w:rFonts w:ascii="Calibri" w:hAnsi="Calibri"/>
                <w:sz w:val="22"/>
              </w:rPr>
              <w:t>Aggregates Volume (FY 2026)</w:t>
            </w:r>
          </w:p>
        </w:tc>
        <w:tc>
          <w:tcPr>
            <w:tcW w:type="dxa" w:w="1728"/>
          </w:tcPr>
          <w:p>
            <w:r>
              <w:rPr>
                <w:rFonts w:ascii="Calibri" w:hAnsi="Calibri"/>
                <w:sz w:val="22"/>
              </w:rPr>
              <w:t>Low-single-digit improvement</w:t>
            </w:r>
          </w:p>
        </w:tc>
        <w:tc>
          <w:tcPr>
            <w:tcW w:type="dxa" w:w="1728"/>
          </w:tcPr>
          <w:p>
            <w:r>
              <w:rPr>
                <w:rFonts w:ascii="Calibri" w:hAnsi="Calibri"/>
                <w:sz w:val="22"/>
              </w:rPr>
              <w:t>— (unchanged)</w:t>
            </w:r>
          </w:p>
        </w:tc>
        <w:tc>
          <w:tcPr>
            <w:tcW w:type="dxa" w:w="1728"/>
          </w:tcPr>
          <w:p>
            <w:r>
              <w:rPr>
                <w:rFonts w:ascii="Calibri" w:hAnsi="Calibri"/>
                <w:sz w:val="22"/>
              </w:rPr>
              <w:t>N/A — qualitative</w:t>
            </w:r>
          </w:p>
        </w:tc>
        <w:tc>
          <w:tcPr>
            <w:tcW w:type="dxa" w:w="1728"/>
          </w:tcPr>
          <w:p>
            <w:r>
              <w:rPr>
                <w:rFonts w:ascii="Calibri" w:hAnsi="Calibri"/>
                <w:sz w:val="22"/>
              </w:rPr>
              <w:t>Consistent with prior guidance. No revision.</w:t>
            </w:r>
          </w:p>
        </w:tc>
      </w:tr>
      <w:tr>
        <w:tc>
          <w:tcPr>
            <w:tcW w:type="dxa" w:w="1728"/>
          </w:tcPr>
          <w:p>
            <w:r>
              <w:rPr>
                <w:rFonts w:ascii="Calibri" w:hAnsi="Calibri"/>
                <w:sz w:val="22"/>
              </w:rPr>
              <w:t>Cement Pricing &amp; Volume (Americas, FY 2026)</w:t>
            </w:r>
          </w:p>
        </w:tc>
        <w:tc>
          <w:tcPr>
            <w:tcW w:type="dxa" w:w="1728"/>
          </w:tcPr>
          <w:p>
            <w:r>
              <w:rPr>
                <w:rFonts w:ascii="Calibri" w:hAnsi="Calibri"/>
                <w:sz w:val="22"/>
              </w:rPr>
              <w:t>Low-single-digit improvement in both</w:t>
            </w:r>
          </w:p>
        </w:tc>
        <w:tc>
          <w:tcPr>
            <w:tcW w:type="dxa" w:w="1728"/>
          </w:tcPr>
          <w:p>
            <w:r>
              <w:rPr>
                <w:rFonts w:ascii="Calibri" w:hAnsi="Calibri"/>
                <w:sz w:val="22"/>
              </w:rPr>
              <w:t>— (unchanged)</w:t>
            </w:r>
          </w:p>
        </w:tc>
        <w:tc>
          <w:tcPr>
            <w:tcW w:type="dxa" w:w="1728"/>
          </w:tcPr>
          <w:p>
            <w:r>
              <w:rPr>
                <w:rFonts w:ascii="Calibri" w:hAnsi="Calibri"/>
                <w:sz w:val="22"/>
              </w:rPr>
              <w:t>N/A — qualitative</w:t>
            </w:r>
          </w:p>
        </w:tc>
        <w:tc>
          <w:tcPr>
            <w:tcW w:type="dxa" w:w="1728"/>
          </w:tcPr>
          <w:p>
            <w:r>
              <w:rPr>
                <w:rFonts w:ascii="Calibri" w:hAnsi="Calibri"/>
                <w:sz w:val="22"/>
              </w:rPr>
              <w:t>Backlogs support low-single-digit volume and pricing. No revision.</w:t>
            </w:r>
          </w:p>
        </w:tc>
      </w:tr>
      <w:tr>
        <w:tc>
          <w:tcPr>
            <w:tcW w:type="dxa" w:w="1728"/>
          </w:tcPr>
          <w:p>
            <w:r>
              <w:rPr>
                <w:rFonts w:ascii="Calibri" w:hAnsi="Calibri"/>
                <w:sz w:val="22"/>
              </w:rPr>
              <w:t>M&amp;A Net EBITDA Contribution (FY 2026)</w:t>
            </w:r>
          </w:p>
        </w:tc>
        <w:tc>
          <w:tcPr>
            <w:tcW w:type="dxa" w:w="1728"/>
          </w:tcPr>
          <w:p>
            <w:r>
              <w:rPr>
                <w:rFonts w:ascii="Calibri" w:hAnsi="Calibri"/>
                <w:sz w:val="22"/>
              </w:rPr>
              <w:t>~$200M net incremental</w:t>
            </w:r>
          </w:p>
        </w:tc>
        <w:tc>
          <w:tcPr>
            <w:tcW w:type="dxa" w:w="1728"/>
          </w:tcPr>
          <w:p>
            <w:r>
              <w:rPr>
                <w:rFonts w:ascii="Calibri" w:hAnsi="Calibri"/>
                <w:sz w:val="22"/>
              </w:rPr>
              <w:t>— (unchanged)</w:t>
            </w:r>
          </w:p>
        </w:tc>
        <w:tc>
          <w:tcPr>
            <w:tcW w:type="dxa" w:w="1728"/>
          </w:tcPr>
          <w:p>
            <w:r>
              <w:rPr>
                <w:rFonts w:ascii="Calibri" w:hAnsi="Calibri"/>
                <w:sz w:val="22"/>
              </w:rPr>
              <w:t>N/A</w:t>
            </w:r>
          </w:p>
        </w:tc>
        <w:tc>
          <w:tcPr>
            <w:tcW w:type="dxa" w:w="1728"/>
          </w:tcPr>
          <w:p>
            <w:r>
              <w:rPr>
                <w:rFonts w:ascii="Calibri" w:hAnsi="Calibri"/>
                <w:sz w:val="22"/>
              </w:rPr>
              <w:t>Reflects $1.9B divestitures + ~$900M acquisitions announced through Q1 call. Arcosa (Q1 2027 close) not yet included.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Q1 earnings — Q2 EBITDA is down just 1.2% from the post-print baseline and FY EBITDA is essentially flat (-0.06%). The Street is not pricing in upside from Arcosa (closes Q1 2027) but is also not cutting numbers, suggesting a neutral-to-slightly-positive setup.</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5 Days Post Q1 Print)</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$10.709B</w:t>
            </w:r>
          </w:p>
        </w:tc>
        <w:tc>
          <w:tcPr>
            <w:tcW w:type="dxa" w:w="1080"/>
          </w:tcPr>
          <w:p>
            <w:r>
              <w:rPr>
                <w:rFonts w:ascii="Calibri" w:hAnsi="Calibri"/>
                <w:sz w:val="22"/>
              </w:rPr>
              <w:t>$10.713B</w:t>
            </w:r>
          </w:p>
        </w:tc>
        <w:tc>
          <w:tcPr>
            <w:tcW w:type="dxa" w:w="1080"/>
          </w:tcPr>
          <w:p>
            <w:r>
              <w:rPr>
                <w:rFonts w:ascii="Calibri" w:hAnsi="Calibri"/>
                <w:sz w:val="22"/>
              </w:rPr>
              <w:t>+0.04%</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 2026</w:t>
            </w:r>
          </w:p>
        </w:tc>
        <w:tc>
          <w:tcPr>
            <w:tcW w:type="dxa" w:w="1080"/>
          </w:tcPr>
          <w:p>
            <w:r>
              <w:rPr>
                <w:rFonts w:ascii="Calibri" w:hAnsi="Calibri"/>
                <w:sz w:val="22"/>
              </w:rPr>
              <w:t>$39.614B</w:t>
            </w:r>
          </w:p>
        </w:tc>
        <w:tc>
          <w:tcPr>
            <w:tcW w:type="dxa" w:w="1080"/>
          </w:tcPr>
          <w:p>
            <w:r>
              <w:rPr>
                <w:rFonts w:ascii="Calibri" w:hAnsi="Calibri"/>
                <w:sz w:val="22"/>
              </w:rPr>
              <w:t>$39.626B</w:t>
            </w:r>
          </w:p>
        </w:tc>
        <w:tc>
          <w:tcPr>
            <w:tcW w:type="dxa" w:w="1080"/>
          </w:tcPr>
          <w:p>
            <w:r>
              <w:rPr>
                <w:rFonts w:ascii="Calibri" w:hAnsi="Calibri"/>
                <w:sz w:val="22"/>
              </w:rPr>
              <w:t>+0.03%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 Q2 2026</w:t>
            </w:r>
          </w:p>
        </w:tc>
        <w:tc>
          <w:tcPr>
            <w:tcW w:type="dxa" w:w="1080"/>
          </w:tcPr>
          <w:p>
            <w:r>
              <w:rPr>
                <w:rFonts w:ascii="Calibri" w:hAnsi="Calibri"/>
                <w:sz w:val="22"/>
              </w:rPr>
              <w:t>$2.627B</w:t>
            </w:r>
          </w:p>
        </w:tc>
        <w:tc>
          <w:tcPr>
            <w:tcW w:type="dxa" w:w="1080"/>
          </w:tcPr>
          <w:p>
            <w:r>
              <w:rPr>
                <w:rFonts w:ascii="Calibri" w:hAnsi="Calibri"/>
                <w:sz w:val="22"/>
              </w:rPr>
              <w:t>$2.597B</w:t>
            </w:r>
          </w:p>
        </w:tc>
        <w:tc>
          <w:tcPr>
            <w:tcW w:type="dxa" w:w="1080"/>
          </w:tcPr>
          <w:p>
            <w:r>
              <w:rPr>
                <w:rFonts w:ascii="Calibri" w:hAnsi="Calibri"/>
                <w:b/>
                <w:color w:val="E5484D"/>
                <w:sz w:val="22"/>
              </w:rPr>
              <w:t>-1.2%</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Adjusted EBITDA — FY 2026</w:t>
            </w:r>
          </w:p>
        </w:tc>
        <w:tc>
          <w:tcPr>
            <w:tcW w:type="dxa" w:w="1080"/>
          </w:tcPr>
          <w:p>
            <w:r>
              <w:rPr>
                <w:rFonts w:ascii="Calibri" w:hAnsi="Calibri"/>
                <w:sz w:val="22"/>
              </w:rPr>
              <w:t>$8.308B</w:t>
            </w:r>
          </w:p>
        </w:tc>
        <w:tc>
          <w:tcPr>
            <w:tcW w:type="dxa" w:w="1080"/>
          </w:tcPr>
          <w:p>
            <w:r>
              <w:rPr>
                <w:rFonts w:ascii="Calibri" w:hAnsi="Calibri"/>
                <w:sz w:val="22"/>
              </w:rPr>
              <w:t>$8.302B</w:t>
            </w:r>
          </w:p>
        </w:tc>
        <w:tc>
          <w:tcPr>
            <w:tcW w:type="dxa" w:w="1080"/>
          </w:tcPr>
          <w:p>
            <w:r>
              <w:rPr>
                <w:rFonts w:ascii="Calibri" w:hAnsi="Calibri"/>
                <w:sz w:val="22"/>
              </w:rPr>
              <w:t>-0.06%</w:t>
            </w:r>
          </w:p>
        </w:tc>
        <w:tc>
          <w:tcPr>
            <w:tcW w:type="dxa" w:w="1080"/>
          </w:tcPr>
          <w:p>
            <w:r>
              <w:rPr>
                <w:rFonts w:ascii="Calibri" w:hAnsi="Calibri"/>
                <w:sz w:val="22"/>
              </w:rPr>
              <w:t>$8.1B – $8.5B (midpoint $8.30B)</w:t>
            </w:r>
          </w:p>
        </w:tc>
        <w:tc>
          <w:tcPr>
            <w:tcW w:type="dxa" w:w="1080"/>
          </w:tcPr>
          <w:p>
            <w:r>
              <w:rPr>
                <w:rFonts w:ascii="Calibri" w:hAnsi="Calibri"/>
                <w:sz w:val="22"/>
              </w:rPr>
              <w:t>$8.1B – $8.5B (unchanged)</w:t>
            </w:r>
          </w:p>
        </w:tc>
        <w:tc>
          <w:tcPr>
            <w:tcW w:type="dxa" w:w="1080"/>
          </w:tcPr>
          <w:p>
            <w:r>
              <w:rPr>
                <w:rFonts w:ascii="Calibri" w:hAnsi="Calibri"/>
                <w:sz w:val="22"/>
              </w:rPr>
              <w:t>0%</w:t>
            </w:r>
          </w:p>
        </w:tc>
        <w:tc>
          <w:tcPr>
            <w:tcW w:type="dxa" w:w="1080"/>
          </w:tcPr>
          <w:p>
            <w:r>
              <w:rPr>
                <w:rFonts w:ascii="Calibri" w:hAnsi="Calibri"/>
                <w:sz w:val="22"/>
              </w:rPr>
              <w:t>~0% (at midpoint)</w:t>
            </w:r>
          </w:p>
        </w:tc>
      </w:tr>
      <w:tr>
        <w:tc>
          <w:tcPr>
            <w:tcW w:type="dxa" w:w="1080"/>
          </w:tcPr>
          <w:p>
            <w:r>
              <w:rPr>
                <w:rFonts w:ascii="Calibri" w:hAnsi="Calibri"/>
                <w:sz w:val="22"/>
              </w:rPr>
              <w:t>EPS Diluted Operating — Q2 2026</w:t>
            </w:r>
          </w:p>
        </w:tc>
        <w:tc>
          <w:tcPr>
            <w:tcW w:type="dxa" w:w="1080"/>
          </w:tcPr>
          <w:p>
            <w:r>
              <w:rPr>
                <w:rFonts w:ascii="Calibri" w:hAnsi="Calibri"/>
                <w:sz w:val="22"/>
              </w:rPr>
              <w:t>$2.063</w:t>
            </w:r>
          </w:p>
        </w:tc>
        <w:tc>
          <w:tcPr>
            <w:tcW w:type="dxa" w:w="1080"/>
          </w:tcPr>
          <w:p>
            <w:r>
              <w:rPr>
                <w:rFonts w:ascii="Calibri" w:hAnsi="Calibri"/>
                <w:sz w:val="22"/>
              </w:rPr>
              <w:t>$2.059</w:t>
            </w:r>
          </w:p>
        </w:tc>
        <w:tc>
          <w:tcPr>
            <w:tcW w:type="dxa" w:w="1080"/>
          </w:tcPr>
          <w:p>
            <w:r>
              <w:rPr>
                <w:rFonts w:ascii="Calibri" w:hAnsi="Calibri"/>
                <w:sz w:val="22"/>
              </w:rPr>
              <w:t>-0.2%</w:t>
            </w:r>
          </w:p>
        </w:tc>
        <w:tc>
          <w:tcPr>
            <w:tcW w:type="dxa" w:w="1080"/>
          </w:tcPr>
          <w:p>
            <w:r>
              <w:rPr>
                <w:rFonts w:ascii="Calibri" w:hAnsi="Calibri"/>
                <w:sz w:val="22"/>
              </w:rPr>
              <w:t>N/A (no quarterly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EPS Diluted Operating — FY 2026</w:t>
            </w:r>
          </w:p>
        </w:tc>
        <w:tc>
          <w:tcPr>
            <w:tcW w:type="dxa" w:w="1080"/>
          </w:tcPr>
          <w:p>
            <w:r>
              <w:rPr>
                <w:rFonts w:ascii="Calibri" w:hAnsi="Calibri"/>
                <w:sz w:val="22"/>
              </w:rPr>
              <w:t>$5.918</w:t>
            </w:r>
          </w:p>
        </w:tc>
        <w:tc>
          <w:tcPr>
            <w:tcW w:type="dxa" w:w="1080"/>
          </w:tcPr>
          <w:p>
            <w:r>
              <w:rPr>
                <w:rFonts w:ascii="Calibri" w:hAnsi="Calibri"/>
                <w:sz w:val="22"/>
              </w:rPr>
              <w:t>$5.925</w:t>
            </w:r>
          </w:p>
        </w:tc>
        <w:tc>
          <w:tcPr>
            <w:tcW w:type="dxa" w:w="1080"/>
          </w:tcPr>
          <w:p>
            <w:r>
              <w:rPr>
                <w:rFonts w:ascii="Calibri" w:hAnsi="Calibri"/>
                <w:sz w:val="22"/>
              </w:rPr>
              <w:t>+0.1%</w:t>
            </w:r>
          </w:p>
        </w:tc>
        <w:tc>
          <w:tcPr>
            <w:tcW w:type="dxa" w:w="1080"/>
          </w:tcPr>
          <w:p>
            <w:r>
              <w:rPr>
                <w:rFonts w:ascii="Calibri" w:hAnsi="Calibri"/>
                <w:sz w:val="22"/>
              </w:rPr>
              <w:t>$5.60 – $6.05 (midpoint $5.83)</w:t>
            </w:r>
          </w:p>
        </w:tc>
        <w:tc>
          <w:tcPr>
            <w:tcW w:type="dxa" w:w="1080"/>
          </w:tcPr>
          <w:p>
            <w:r>
              <w:rPr>
                <w:rFonts w:ascii="Calibri" w:hAnsi="Calibri"/>
                <w:sz w:val="22"/>
              </w:rPr>
              <w:t>$5.60 – $6.05 (unchanged)</w:t>
            </w:r>
          </w:p>
        </w:tc>
        <w:tc>
          <w:tcPr>
            <w:tcW w:type="dxa" w:w="1080"/>
          </w:tcPr>
          <w:p>
            <w:r>
              <w:rPr>
                <w:rFonts w:ascii="Calibri" w:hAnsi="Calibri"/>
                <w:sz w:val="22"/>
              </w:rPr>
              <w:t>0%</w:t>
            </w:r>
          </w:p>
        </w:tc>
        <w:tc>
          <w:tcPr>
            <w:tcW w:type="dxa" w:w="1080"/>
          </w:tcPr>
          <w:p>
            <w:r>
              <w:rPr>
                <w:rFonts w:ascii="Calibri" w:hAnsi="Calibri"/>
                <w:sz w:val="22"/>
              </w:rPr>
              <w:t>+1.6% above midpoint</w:t>
            </w:r>
          </w:p>
        </w:tc>
      </w:tr>
    </w:tbl>
    <w:p>
      <w:r>
        <w:rPr>
          <w:rFonts w:ascii="Calibri" w:hAnsi="Calibri"/>
          <w:i/>
          <w:color w:val="525866"/>
          <w:sz w:val="22"/>
        </w:rPr>
        <w:t>Source: Visible Alpha Consensus and Actuals Data. Baseline date May 7, 2026 = 5 trading days after Q1 2026 earnings (April 30, 2026). Current consensus as of July 29, 2026.</w:t>
      </w:r>
    </w:p>
    <w:p>
      <w:r>
        <w:rPr>
          <w:rFonts w:ascii="Calibri" w:hAnsi="Calibri"/>
          <w:color w:val="525866"/>
          <w:sz w:val="22"/>
        </w:rPr>
        <w:t>Estimates are essentially unchanged since Q1 earnings — the Street has neither chased numbers higher on peer read-throughs nor cut on macro concerns. FY EBITDA consensus sits precisely at the guidance midpoint, leaving room for a beat if Q2 seasonal volumes and pricing come in ahead of the modest bar.</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CRH has significantly underperformed peers since Q1 earnings (-15.8% vs. VMC -5.9%, MLM -8.0%), driven primarily by the surprise CFO departure and the market’s initial negative reaction to the $8.5B Arcosa acquisition — </w:t>
      </w:r>
      <w:r>
        <w:rPr>
          <w:rFonts w:ascii="Calibri" w:hAnsi="Calibri"/>
          <w:b/>
          <w:color w:val="525866"/>
          <w:sz w:val="22"/>
        </w:rPr>
        <w:t>the de-rating appears sentiment- and event-driven rather than fundamental</w:t>
      </w:r>
      <w:r>
        <w:rPr>
          <w:rFonts w:ascii="Calibri" w:hAnsi="Calibri"/>
          <w:color w:val="525866"/>
          <w:sz w:val="22"/>
        </w:rPr>
        <w:t>, creating a potentially attractive entry point if Q2 results and management commentary on Arcosa integration are reassuring.</w:t>
      </w:r>
    </w:p>
    <w:p>
      <w:r>
        <w:rPr>
          <w:rFonts w:ascii="Calibri" w:hAnsi="Calibri"/>
          <w:b/>
          <w:color w:val="525866"/>
          <w:sz w:val="22"/>
        </w:rPr>
        <w:t xml:space="preserve">Sector ETF used: </w:t>
      </w:r>
      <w:r>
        <w:rPr>
          <w:rFonts w:ascii="Calibri" w:hAnsi="Calibri"/>
          <w:color w:val="525866"/>
          <w:sz w:val="22"/>
        </w:rPr>
        <w:t>Peers indexed to VMC (Vulcan Materials) and MLM (Martin Marietta Materials) — the two closest U.S. pure-play aggregates comparables. S&amp;P 500 used as broad market benchmark. Chart indexed to 100 at April 30, 2026 (Q1 2026 earnings date).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CRH vs. VMC vs. MLM — Indexed Price Performance Since Q1 2026 Earnings (April 30, 2026). Source: Yahoo Finance.</w:t>
      </w:r>
    </w:p>
    <w:p>
      <w:r>
        <w:rPr>
          <w:rFonts w:ascii="Calibri" w:hAnsi="Calibri"/>
          <w:color w:val="525866"/>
          <w:sz w:val="22"/>
        </w:rPr>
        <w:t>Key events since Q1 2026 earnings (April 30, 2026):</w:t>
      </w:r>
      <w:r>
        <w:rPr>
          <w:rFonts w:ascii="Calibri" w:hAnsi="Calibri"/>
          <w:color w:val="525866"/>
          <w:sz w:val="22"/>
        </w:rPr>
      </w:r>
    </w:p>
    <w:p>
      <w:pPr>
        <w:pStyle w:val="ListBullet"/>
        <w:ind w:left="360" w:hanging="360"/>
      </w:pPr>
      <w:r>
        <w:rPr>
          <w:rFonts w:ascii="Calibri" w:hAnsi="Calibri"/>
          <w:b/>
          <w:color w:val="525866"/>
          <w:sz w:val="22"/>
        </w:rPr>
        <w:t xml:space="preserve">May 12, 2026: </w:t>
      </w:r>
      <w:r>
        <w:rPr>
          <w:rFonts w:ascii="Calibri" w:hAnsi="Calibri"/>
          <w:color w:val="525866"/>
          <w:sz w:val="22"/>
        </w:rPr>
        <w:t>CFO Nancy Buese replaced by Aylwyn Bryan (internal appointment). Stock fell sharply in mid-May, underperforming peers by ~5–6 percentage points around this event.</w:t>
      </w:r>
    </w:p>
    <w:p>
      <w:pPr>
        <w:pStyle w:val="ListBullet"/>
        <w:ind w:left="360" w:hanging="360"/>
      </w:pPr>
      <w:r>
        <w:rPr>
          <w:rFonts w:ascii="Calibri" w:hAnsi="Calibri"/>
          <w:b/>
          <w:color w:val="525866"/>
          <w:sz w:val="22"/>
        </w:rPr>
        <w:t xml:space="preserve">June 22, 2026: </w:t>
      </w:r>
      <w:r>
        <w:rPr>
          <w:rFonts w:ascii="Calibri" w:hAnsi="Calibri"/>
          <w:color w:val="525866"/>
          <w:sz w:val="22"/>
        </w:rPr>
        <w:t>$8.5B all-cash Arcosa acquisition announced. Stock initially dipped but partially recovered as investors assessed strategic rationale. Peers also sold off around this date on broader market weakness.</w:t>
      </w:r>
    </w:p>
    <w:p>
      <w:pPr>
        <w:pStyle w:val="ListBullet"/>
        <w:ind w:left="360" w:hanging="360"/>
      </w:pPr>
      <w:r>
        <w:rPr>
          <w:rFonts w:ascii="Calibri" w:hAnsi="Calibri"/>
          <w:b/>
          <w:color w:val="525866"/>
          <w:sz w:val="22"/>
        </w:rPr>
        <w:t xml:space="preserve">July 17, 2026: </w:t>
      </w:r>
      <w:r>
        <w:rPr>
          <w:rFonts w:ascii="Calibri" w:hAnsi="Calibri"/>
          <w:color w:val="525866"/>
          <w:sz w:val="22"/>
        </w:rPr>
        <w:t>$2.5B term loan secured to reduce Arcosa merger bridge facility — financing execution confirmed, modest negative reaction on leverage concerns.</w:t>
      </w:r>
    </w:p>
    <w:p>
      <w:r>
        <w:br w:type="page"/>
      </w:r>
    </w:p>
    <w:p>
      <w:pPr>
        <w:pStyle w:val="Heading2"/>
      </w:pPr>
      <w:r>
        <w:rPr>
          <w:rFonts w:ascii="Calibri" w:hAnsi="Calibri"/>
          <w:b/>
          <w:color w:val="3B4259"/>
          <w:sz w:val="28"/>
        </w:rPr>
        <w:t>6. Peer Commentaries — Q2 2026 Read-Throughs</w:t>
      </w:r>
    </w:p>
    <w:p>
      <w:r>
        <w:rPr>
          <w:rFonts w:ascii="Calibri" w:hAnsi="Calibri"/>
          <w:b/>
          <w:color w:val="525866"/>
          <w:sz w:val="22"/>
        </w:rPr>
        <w:t xml:space="preserve">Key Takeaway: </w:t>
      </w:r>
      <w:r>
        <w:rPr>
          <w:rFonts w:ascii="Calibri" w:hAnsi="Calibri"/>
          <w:color w:val="525866"/>
          <w:sz w:val="22"/>
        </w:rPr>
        <w:t xml:space="preserve">Peer commentary from Vulcan Materials (Q2 2026, reported July 29), Eagle Materials (Q1 FY2027 = April–June 2026, reported July 29), and Construction Partners / ROAD (Q2 FY2026, reported May 8) is broadly positive for CRH — </w:t>
      </w:r>
      <w:r>
        <w:rPr>
          <w:rFonts w:ascii="Calibri" w:hAnsi="Calibri"/>
          <w:b/>
          <w:color w:val="525866"/>
          <w:sz w:val="22"/>
        </w:rPr>
        <w:t>aggregates pricing is tracking mid-single-digit YoY, infrastructure backlogs are healthy and growing, and data center demand is accelerating</w:t>
      </w:r>
      <w:r>
        <w:rPr>
          <w:rFonts w:ascii="Calibri" w:hAnsi="Calibri"/>
          <w:color w:val="525866"/>
          <w:sz w:val="22"/>
        </w:rPr>
        <w:t>. The only cautionary note is continued residential weakness, which CRH has already flagged.</w:t>
      </w:r>
    </w:p>
    <w:p>
      <w:r>
        <w:rPr>
          <w:rFonts w:ascii="Calibri" w:hAnsi="Calibri"/>
          <w:i/>
          <w:color w:val="525866"/>
          <w:sz w:val="22"/>
        </w:rPr>
        <w:t>Note: Only commentary from peers reporting on the current quarter (Q2 2026 calendar period) or post-Q1 2026 earnings is included. Prior-quarter results commentary has been excluded.</w:t>
      </w:r>
    </w:p>
    <w:p>
      <w:pPr>
        <w:pStyle w:val="Heading3"/>
      </w:pPr>
      <w:r>
        <w:rPr>
          <w:rFonts w:ascii="Calibri" w:hAnsi="Calibri"/>
          <w:b/>
          <w:color w:val="3B4259"/>
          <w:sz w:val="24"/>
        </w:rPr>
        <w:t>Vulcan Materials (VMC) — Q2 2026 Earnings (Reported July 29, 2026)</w:t>
      </w:r>
    </w:p>
    <w:p>
      <w:r>
        <w:rPr>
          <w:rFonts w:ascii="Calibri" w:hAnsi="Calibri"/>
          <w:b/>
          <w:color w:val="525866"/>
          <w:sz w:val="22"/>
        </w:rPr>
        <w:t xml:space="preserve">Relevance to CRH: </w:t>
      </w:r>
      <w:r>
        <w:rPr>
          <w:rFonts w:ascii="Calibri" w:hAnsi="Calibri"/>
          <w:color w:val="525866"/>
          <w:sz w:val="22"/>
        </w:rPr>
        <w:t>VMC is CRH’s closest U.S. aggregates peer. VMC’s Q2 2026 results cover the same calendar quarter as CRH’s upcoming print and provide the most direct read-through on aggregates pricing, volumes, and infrastructure demand.</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VMC Commentary (Q2 2026)</w:t>
            </w:r>
          </w:p>
        </w:tc>
        <w:tc>
          <w:tcPr>
            <w:tcW w:type="dxa" w:w="2880"/>
            <w:shd w:val="clear" w:color="auto" w:fill="3B4259"/>
          </w:tcPr>
          <w:p>
            <w:r>
              <w:rPr>
                <w:rFonts w:ascii="Calibri" w:hAnsi="Calibri"/>
                <w:b/>
                <w:color w:val="FFFFFF"/>
                <w:sz w:val="22"/>
              </w:rPr>
              <w:t>CRH Read-Through</w:t>
            </w:r>
          </w:p>
        </w:tc>
      </w:tr>
      <w:tr>
        <w:tc>
          <w:tcPr>
            <w:tcW w:type="dxa" w:w="2880"/>
          </w:tcPr>
          <w:p>
            <w:r>
              <w:rPr>
                <w:rFonts w:ascii="Calibri" w:hAnsi="Calibri"/>
                <w:sz w:val="22"/>
              </w:rPr>
              <w:t>Aggregates Pricing</w:t>
            </w:r>
          </w:p>
        </w:tc>
        <w:tc>
          <w:tcPr>
            <w:tcW w:type="dxa" w:w="2880"/>
          </w:tcPr>
          <w:p>
            <w:r>
              <w:rPr>
                <w:rFonts w:ascii="Calibri" w:hAnsi="Calibri"/>
                <w:sz w:val="22"/>
              </w:rPr>
              <w:t>Average selling prices +5% YoY, widespread across geographies. Mid-year price increases went "almost two times better than last year" and were pulled forward to June. Pricing expected to "continue to accelerate throughout the year." Full-year guidance of 4–6% pricing maintained.</w:t>
            </w:r>
          </w:p>
        </w:tc>
        <w:tc>
          <w:tcPr>
            <w:tcW w:type="dxa" w:w="2880"/>
          </w:tcPr>
          <w:p>
            <w:r>
              <w:rPr>
                <w:rFonts w:ascii="Calibri" w:hAnsi="Calibri"/>
                <w:b/>
                <w:color w:val="30A46C"/>
                <w:sz w:val="22"/>
              </w:rPr>
              <w:t>Positive. CRH guided to mid-single-digit aggregates pricing for FY 2026 and reported +5% mix-adjusted in Q1. VMC’s confirmation of mid-year increases tracking ahead of last year supports CRH’s pricing trajectory.</w:t>
            </w:r>
          </w:p>
        </w:tc>
      </w:tr>
      <w:tr>
        <w:tc>
          <w:tcPr>
            <w:tcW w:type="dxa" w:w="2880"/>
          </w:tcPr>
          <w:p>
            <w:r>
              <w:rPr>
                <w:rFonts w:ascii="Calibri" w:hAnsi="Calibri"/>
                <w:sz w:val="22"/>
              </w:rPr>
              <w:t>Aggregates Volumes</w:t>
            </w:r>
          </w:p>
        </w:tc>
        <w:tc>
          <w:tcPr>
            <w:tcW w:type="dxa" w:w="2880"/>
          </w:tcPr>
          <w:p>
            <w:r>
              <w:rPr>
                <w:rFonts w:ascii="Calibri" w:hAnsi="Calibri"/>
                <w:sz w:val="22"/>
              </w:rPr>
              <w:t>Shipments +1% YoY, varied by geography due to weather. Full-year expectation of "modest growth" maintained. H2 volume pace expected to be similar to Q2.</w:t>
            </w:r>
          </w:p>
        </w:tc>
        <w:tc>
          <w:tcPr>
            <w:tcW w:type="dxa" w:w="2880"/>
          </w:tcPr>
          <w:p>
            <w:r>
              <w:rPr>
                <w:rFonts w:ascii="Calibri" w:hAnsi="Calibri"/>
                <w:sz w:val="22"/>
              </w:rPr>
              <w:t>Neutral. CRH guided to low-single-digit volume growth. VMC’s modest +1% is at the low end but consistent with the guidance range; weather variability is a known factor.</w:t>
            </w:r>
          </w:p>
        </w:tc>
      </w:tr>
      <w:tr>
        <w:tc>
          <w:tcPr>
            <w:tcW w:type="dxa" w:w="2880"/>
          </w:tcPr>
          <w:p>
            <w:r>
              <w:rPr>
                <w:rFonts w:ascii="Calibri" w:hAnsi="Calibri"/>
                <w:sz w:val="22"/>
              </w:rPr>
              <w:t>Infrastructure Demand &amp; IIJA</w:t>
            </w:r>
          </w:p>
        </w:tc>
        <w:tc>
          <w:tcPr>
            <w:tcW w:type="dxa" w:w="2880"/>
          </w:tcPr>
          <w:p>
            <w:r>
              <w:rPr>
                <w:rFonts w:ascii="Calibri" w:hAnsi="Calibri"/>
                <w:sz w:val="22"/>
              </w:rPr>
              <w:t>Trailing 12-month highway awards in Vulcan markets up double digits YoY. Public infrastructure awards up 20% YoY in Vulcan markets. House Transportation Committee passed Build America 250 Act, seen as "better for the business than IIJA." Continuing resolution seen as "business as usual."</w:t>
            </w:r>
          </w:p>
        </w:tc>
        <w:tc>
          <w:tcPr>
            <w:tcW w:type="dxa" w:w="2880"/>
          </w:tcPr>
          <w:p>
            <w:r>
              <w:rPr>
                <w:rFonts w:ascii="Calibri" w:hAnsi="Calibri"/>
                <w:b/>
                <w:color w:val="30A46C"/>
                <w:sz w:val="22"/>
              </w:rPr>
              <w:t>Strongly positive. CRH flagged ~50% of IIJA highway funds yet to be deployed and expects highway bill reauthorization in H2 2026. VMC’s data confirms the pipeline is building, not slowing.</w:t>
            </w:r>
          </w:p>
        </w:tc>
      </w:tr>
      <w:tr>
        <w:tc>
          <w:tcPr>
            <w:tcW w:type="dxa" w:w="2880"/>
          </w:tcPr>
          <w:p>
            <w:r>
              <w:rPr>
                <w:rFonts w:ascii="Calibri" w:hAnsi="Calibri"/>
                <w:sz w:val="22"/>
              </w:rPr>
              <w:t>Backlogs</w:t>
            </w:r>
          </w:p>
        </w:tc>
        <w:tc>
          <w:tcPr>
            <w:tcW w:type="dxa" w:w="2880"/>
          </w:tcPr>
          <w:p>
            <w:r>
              <w:rPr>
                <w:rFonts w:ascii="Calibri" w:hAnsi="Calibri"/>
                <w:sz w:val="22"/>
              </w:rPr>
              <w:t>Backlogs described as "healthy" and "very similar to entering the year." Quoting activity "continues to remain very robust."</w:t>
            </w:r>
          </w:p>
        </w:tc>
        <w:tc>
          <w:tcPr>
            <w:tcW w:type="dxa" w:w="2880"/>
          </w:tcPr>
          <w:p>
            <w:r>
              <w:rPr>
                <w:rFonts w:ascii="Calibri" w:hAnsi="Calibri"/>
                <w:b/>
                <w:color w:val="30A46C"/>
                <w:sz w:val="22"/>
              </w:rPr>
              <w:t>Positive. CRH’s roads backlog is a key KPI; VMC’s healthy backlog commentary is consistent with CRH’s own Q1 messaging.</w:t>
            </w:r>
          </w:p>
        </w:tc>
      </w:tr>
      <w:tr>
        <w:tc>
          <w:tcPr>
            <w:tcW w:type="dxa" w:w="2880"/>
          </w:tcPr>
          <w:p>
            <w:r>
              <w:rPr>
                <w:rFonts w:ascii="Calibri" w:hAnsi="Calibri"/>
                <w:sz w:val="22"/>
              </w:rPr>
              <w:t>Data Centers</w:t>
            </w:r>
          </w:p>
        </w:tc>
        <w:tc>
          <w:tcPr>
            <w:tcW w:type="dxa" w:w="2880"/>
          </w:tcPr>
          <w:p>
            <w:r>
              <w:rPr>
                <w:rFonts w:ascii="Calibri" w:hAnsi="Calibri"/>
                <w:sz w:val="22"/>
              </w:rPr>
              <w:t>Footprint "well aligned with data center activity." Power infrastructure expansion a long-term tailwind. Quoting and booking activity increasing. Power generation seen as a 4–5 year tailwind.</w:t>
            </w:r>
          </w:p>
        </w:tc>
        <w:tc>
          <w:tcPr>
            <w:tcW w:type="dxa" w:w="2880"/>
          </w:tcPr>
          <w:p>
            <w:r>
              <w:rPr>
                <w:rFonts w:ascii="Calibri" w:hAnsi="Calibri"/>
                <w:b/>
                <w:color w:val="30A46C"/>
                <w:sz w:val="22"/>
              </w:rPr>
              <w:t>Positive. CRH has 98 active data center projects within 50 miles of its locations. VMC’s commentary reinforces the multi-year demand runway.</w:t>
            </w:r>
          </w:p>
        </w:tc>
      </w:tr>
      <w:tr>
        <w:tc>
          <w:tcPr>
            <w:tcW w:type="dxa" w:w="2880"/>
          </w:tcPr>
          <w:p>
            <w:r>
              <w:rPr>
                <w:rFonts w:ascii="Calibri" w:hAnsi="Calibri"/>
                <w:sz w:val="22"/>
              </w:rPr>
              <w:t>Residential</w:t>
            </w:r>
          </w:p>
        </w:tc>
        <w:tc>
          <w:tcPr>
            <w:tcW w:type="dxa" w:w="2880"/>
          </w:tcPr>
          <w:p>
            <w:r>
              <w:rPr>
                <w:rFonts w:ascii="Calibri" w:hAnsi="Calibri"/>
                <w:sz w:val="22"/>
              </w:rPr>
              <w:t>"Continues to struggle due to the ongoing lack of affordability." Longer-term fundamental need for housing acknowledged.</w:t>
            </w:r>
          </w:p>
        </w:tc>
        <w:tc>
          <w:tcPr>
            <w:tcW w:type="dxa" w:w="2880"/>
          </w:tcPr>
          <w:p>
            <w:r>
              <w:rPr>
                <w:rFonts w:ascii="Calibri" w:hAnsi="Calibri"/>
                <w:sz w:val="22"/>
              </w:rPr>
              <w:t>Neutral/expected. CRH already guided for subdued new-build activity in 2026. No negative surprise here.</w:t>
            </w:r>
          </w:p>
        </w:tc>
      </w:tr>
    </w:tbl>
    <w:p>
      <w:pPr>
        <w:pStyle w:val="Heading3"/>
      </w:pPr>
      <w:r>
        <w:rPr>
          <w:rFonts w:ascii="Calibri" w:hAnsi="Calibri"/>
          <w:b/>
          <w:color w:val="3B4259"/>
          <w:sz w:val="24"/>
        </w:rPr>
        <w:t>Eagle Materials (EXP) — Q1 FY2027 Earnings (April–June 2026, Reported July 29, 2026)</w:t>
      </w:r>
    </w:p>
    <w:p>
      <w:r>
        <w:rPr>
          <w:rFonts w:ascii="Calibri" w:hAnsi="Calibri"/>
          <w:b/>
          <w:color w:val="525866"/>
          <w:sz w:val="22"/>
        </w:rPr>
        <w:t xml:space="preserve">Relevance to CRH: </w:t>
      </w:r>
      <w:r>
        <w:rPr>
          <w:rFonts w:ascii="Calibri" w:hAnsi="Calibri"/>
          <w:color w:val="525866"/>
          <w:sz w:val="22"/>
        </w:rPr>
        <w:t>EXP’s fiscal Q1 2027 covers April–June 2026 — the same calendar period as CRH’s Q2 2026. EXP is a U.S. cement and aggregates producer with significant infrastructure exposure, providing a direct read-through on cement pricing dynamics and infrastructure demand in overlapping markets.</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EXP Commentary (Q1 FY2027 = Apr–Jun 2026)</w:t>
            </w:r>
          </w:p>
        </w:tc>
        <w:tc>
          <w:tcPr>
            <w:tcW w:type="dxa" w:w="2880"/>
            <w:shd w:val="clear" w:color="auto" w:fill="3B4259"/>
          </w:tcPr>
          <w:p>
            <w:r>
              <w:rPr>
                <w:rFonts w:ascii="Calibri" w:hAnsi="Calibri"/>
                <w:b/>
                <w:color w:val="FFFFFF"/>
                <w:sz w:val="22"/>
              </w:rPr>
              <w:t>CRH Read-Through</w:t>
            </w:r>
          </w:p>
        </w:tc>
      </w:tr>
      <w:tr>
        <w:tc>
          <w:tcPr>
            <w:tcW w:type="dxa" w:w="2880"/>
          </w:tcPr>
          <w:p>
            <w:r>
              <w:rPr>
                <w:rFonts w:ascii="Calibri" w:hAnsi="Calibri"/>
                <w:sz w:val="22"/>
              </w:rPr>
              <w:t>Aggregates Volumes &amp; Pricing</w:t>
            </w:r>
          </w:p>
        </w:tc>
        <w:tc>
          <w:tcPr>
            <w:tcW w:type="dxa" w:w="2880"/>
          </w:tcPr>
          <w:p>
            <w:r>
              <w:rPr>
                <w:rFonts w:ascii="Calibri" w:hAnsi="Calibri"/>
                <w:sz w:val="22"/>
              </w:rPr>
              <w:t>Aggregate sales contributed to 3% YoY revenue growth (record $651M Q1). Volume growth supported by public infrastructure and data center demand. Pricing initiatives supporting volumes.</w:t>
            </w:r>
          </w:p>
        </w:tc>
        <w:tc>
          <w:tcPr>
            <w:tcW w:type="dxa" w:w="2880"/>
          </w:tcPr>
          <w:p>
            <w:r>
              <w:rPr>
                <w:rFonts w:ascii="Calibri" w:hAnsi="Calibri"/>
                <w:b/>
                <w:color w:val="30A46C"/>
                <w:sz w:val="22"/>
              </w:rPr>
              <w:t>Positive. Consistent with CRH’s low-single-digit volume + mid-single-digit pricing guidance for aggregates.</w:t>
            </w:r>
          </w:p>
        </w:tc>
      </w:tr>
      <w:tr>
        <w:tc>
          <w:tcPr>
            <w:tcW w:type="dxa" w:w="2880"/>
          </w:tcPr>
          <w:p>
            <w:r>
              <w:rPr>
                <w:rFonts w:ascii="Calibri" w:hAnsi="Calibri"/>
                <w:sz w:val="22"/>
              </w:rPr>
              <w:t>Cement Pricing</w:t>
            </w:r>
          </w:p>
        </w:tc>
        <w:tc>
          <w:tcPr>
            <w:tcW w:type="dxa" w:w="2880"/>
          </w:tcPr>
          <w:p>
            <w:r>
              <w:rPr>
                <w:rFonts w:ascii="Calibri" w:hAnsi="Calibri"/>
                <w:sz w:val="22"/>
              </w:rPr>
              <w:t>Gross cement price +1% YoY but net cement price -2% due to elevated freight costs offsetting gross increases in some markets. April price increases implemented in most markets. No further increases announced for July–September.</w:t>
            </w:r>
          </w:p>
        </w:tc>
        <w:tc>
          <w:tcPr>
            <w:tcW w:type="dxa" w:w="2880"/>
          </w:tcPr>
          <w:p>
            <w:r>
              <w:rPr>
                <w:rFonts w:ascii="Calibri" w:hAnsi="Calibri"/>
                <w:b/>
                <w:color w:val="E5484D"/>
                <w:sz w:val="22"/>
              </w:rPr>
              <w:t>Mixed. CRH guided to low-single-digit cement pricing improvement. EXP’s freight headwind is a watch item, though CRH’s Americas cement exposure is different geographically.</w:t>
            </w:r>
          </w:p>
        </w:tc>
      </w:tr>
      <w:tr>
        <w:tc>
          <w:tcPr>
            <w:tcW w:type="dxa" w:w="2880"/>
          </w:tcPr>
          <w:p>
            <w:r>
              <w:rPr>
                <w:rFonts w:ascii="Calibri" w:hAnsi="Calibri"/>
                <w:sz w:val="22"/>
              </w:rPr>
              <w:t>Infrastructure &amp; IIJA</w:t>
            </w:r>
          </w:p>
        </w:tc>
        <w:tc>
          <w:tcPr>
            <w:tcW w:type="dxa" w:w="2880"/>
          </w:tcPr>
          <w:p>
            <w:r>
              <w:rPr>
                <w:rFonts w:ascii="Calibri" w:hAnsi="Calibri"/>
                <w:sz w:val="22"/>
              </w:rPr>
              <w:t>Cement and aggregates volumes supported by "elevated infrastructure spending driven by federal IIJA bill and elevated state DOT budgets." Customers report "robust pipeline of multiyear infrastructure projects." IIJA extension seen as "supportive of public infrastructure for a long period of time."</w:t>
            </w:r>
          </w:p>
        </w:tc>
        <w:tc>
          <w:tcPr>
            <w:tcW w:type="dxa" w:w="2880"/>
          </w:tcPr>
          <w:p>
            <w:r>
              <w:rPr>
                <w:rFonts w:ascii="Calibri" w:hAnsi="Calibri"/>
                <w:b/>
                <w:color w:val="30A46C"/>
                <w:sz w:val="22"/>
              </w:rPr>
              <w:t>Positive. Directly corroborates CRH’s infrastructure demand thesis and IIJA deployment narrative.</w:t>
            </w:r>
          </w:p>
        </w:tc>
      </w:tr>
      <w:tr>
        <w:tc>
          <w:tcPr>
            <w:tcW w:type="dxa" w:w="2880"/>
          </w:tcPr>
          <w:p>
            <w:r>
              <w:rPr>
                <w:rFonts w:ascii="Calibri" w:hAnsi="Calibri"/>
                <w:sz w:val="22"/>
              </w:rPr>
              <w:t>Data Centers</w:t>
            </w:r>
          </w:p>
        </w:tc>
        <w:tc>
          <w:tcPr>
            <w:tcW w:type="dxa" w:w="2880"/>
          </w:tcPr>
          <w:p>
            <w:r>
              <w:rPr>
                <w:rFonts w:ascii="Calibri" w:hAnsi="Calibri"/>
                <w:sz w:val="22"/>
              </w:rPr>
              <w:t>EXP bid double the number of data centers in H1 calendar 2026 vs. H1 2025. Customers seeing growth across all regions. "Probably in the early innings" of data center activity. Multi-year engagement similar to highway jobs.</w:t>
            </w:r>
          </w:p>
        </w:tc>
        <w:tc>
          <w:tcPr>
            <w:tcW w:type="dxa" w:w="2880"/>
          </w:tcPr>
          <w:p>
            <w:r>
              <w:rPr>
                <w:rFonts w:ascii="Calibri" w:hAnsi="Calibri"/>
                <w:b/>
                <w:color w:val="30A46C"/>
                <w:sz w:val="22"/>
              </w:rPr>
              <w:t>Strongly positive. EXP’s doubling of data center bids in H1 2026 vs. H1 2025 is a powerful confirmation of accelerating demand that directly benefits CRH’s connected portfolio.</w:t>
            </w:r>
          </w:p>
        </w:tc>
      </w:tr>
      <w:tr>
        <w:tc>
          <w:tcPr>
            <w:tcW w:type="dxa" w:w="2880"/>
          </w:tcPr>
          <w:p>
            <w:r>
              <w:rPr>
                <w:rFonts w:ascii="Calibri" w:hAnsi="Calibri"/>
                <w:sz w:val="22"/>
              </w:rPr>
              <w:t>Residential / Wallboard</w:t>
            </w:r>
          </w:p>
        </w:tc>
        <w:tc>
          <w:tcPr>
            <w:tcW w:type="dxa" w:w="2880"/>
          </w:tcPr>
          <w:p>
            <w:r>
              <w:rPr>
                <w:rFonts w:ascii="Calibri" w:hAnsi="Calibri"/>
                <w:sz w:val="22"/>
              </w:rPr>
              <w:t>Wallboard volumes and prices declined; residential "still facing several affordability headwinds." June 1 wallboard price increase implemented (freight-driven). Trough-level activity acknowledged but structural housing shortage supports medium-term recovery.</w:t>
            </w:r>
          </w:p>
        </w:tc>
        <w:tc>
          <w:tcPr>
            <w:tcW w:type="dxa" w:w="2880"/>
          </w:tcPr>
          <w:p>
            <w:r>
              <w:rPr>
                <w:rFonts w:ascii="Calibri" w:hAnsi="Calibri"/>
                <w:sz w:val="22"/>
              </w:rPr>
              <w:t>Neutral/expected. CRH already guided for subdued U.S. new-build. No incremental negative.</w:t>
            </w:r>
          </w:p>
        </w:tc>
      </w:tr>
      <w:tr>
        <w:tc>
          <w:tcPr>
            <w:tcW w:type="dxa" w:w="2880"/>
          </w:tcPr>
          <w:p>
            <w:r>
              <w:rPr>
                <w:rFonts w:ascii="Calibri" w:hAnsi="Calibri"/>
                <w:sz w:val="22"/>
              </w:rPr>
              <w:t>Overall Demand Tone</w:t>
            </w:r>
          </w:p>
        </w:tc>
        <w:tc>
          <w:tcPr>
            <w:tcW w:type="dxa" w:w="2880"/>
          </w:tcPr>
          <w:p>
            <w:r>
              <w:rPr>
                <w:rFonts w:ascii="Calibri" w:hAnsi="Calibri"/>
                <w:sz w:val="22"/>
              </w:rPr>
              <w:t>"Steady results" against macroeconomic uncertainty. "Fundamentally bullish on structural tailwinds." Construction season "started well in April and carrying into May, shaping up for a good year."</w:t>
            </w:r>
          </w:p>
        </w:tc>
        <w:tc>
          <w:tcPr>
            <w:tcW w:type="dxa" w:w="2880"/>
          </w:tcPr>
          <w:p>
            <w:r>
              <w:rPr>
                <w:rFonts w:ascii="Calibri" w:hAnsi="Calibri"/>
                <w:b/>
                <w:color w:val="30A46C"/>
                <w:sz w:val="22"/>
              </w:rPr>
              <w:t>Positive. Constructive tone from a peer operating in overlapping markets during the same calendar quarter.</w:t>
            </w:r>
          </w:p>
        </w:tc>
      </w:tr>
    </w:tbl>
    <w:p>
      <w:pPr>
        <w:pStyle w:val="Heading3"/>
      </w:pPr>
      <w:r>
        <w:rPr>
          <w:rFonts w:ascii="Calibri" w:hAnsi="Calibri"/>
          <w:b/>
          <w:color w:val="3B4259"/>
          <w:sz w:val="24"/>
        </w:rPr>
        <w:t>Construction Partners / ROAD — Q2 FY2026 Earnings (Jan–Mar 2026, Reported May 8, 2026)</w:t>
      </w:r>
    </w:p>
    <w:p>
      <w:r>
        <w:rPr>
          <w:rFonts w:ascii="Calibri" w:hAnsi="Calibri"/>
          <w:b/>
          <w:color w:val="525866"/>
          <w:sz w:val="22"/>
        </w:rPr>
        <w:t xml:space="preserve">Relevance to CRH: </w:t>
      </w:r>
      <w:r>
        <w:rPr>
          <w:rFonts w:ascii="Calibri" w:hAnsi="Calibri"/>
          <w:color w:val="525866"/>
          <w:sz w:val="22"/>
        </w:rPr>
        <w:t>ROAD is a Sunbelt-focused asphalt paving and road construction company — a direct customer and read-through for CRH’s Americas roads and asphalt businesses. ROAD’s fiscal Q2 covers January–March 2026, reported May 8, making it a post-Q1 2026 commentary on the current construction season outlook.</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ROAD Commentary (Q2 FY2026, May 8, 2026)</w:t>
            </w:r>
          </w:p>
        </w:tc>
        <w:tc>
          <w:tcPr>
            <w:tcW w:type="dxa" w:w="2880"/>
            <w:shd w:val="clear" w:color="auto" w:fill="3B4259"/>
          </w:tcPr>
          <w:p>
            <w:r>
              <w:rPr>
                <w:rFonts w:ascii="Calibri" w:hAnsi="Calibri"/>
                <w:b/>
                <w:color w:val="FFFFFF"/>
                <w:sz w:val="22"/>
              </w:rPr>
              <w:t>CRH Read-Through</w:t>
            </w:r>
          </w:p>
        </w:tc>
      </w:tr>
      <w:tr>
        <w:tc>
          <w:tcPr>
            <w:tcW w:type="dxa" w:w="2880"/>
          </w:tcPr>
          <w:p>
            <w:r>
              <w:rPr>
                <w:rFonts w:ascii="Calibri" w:hAnsi="Calibri"/>
                <w:sz w:val="22"/>
              </w:rPr>
              <w:t>Backlogs &amp; Demand</w:t>
            </w:r>
          </w:p>
        </w:tc>
        <w:tc>
          <w:tcPr>
            <w:tcW w:type="dxa" w:w="2880"/>
          </w:tcPr>
          <w:p>
            <w:r>
              <w:rPr>
                <w:rFonts w:ascii="Calibri" w:hAnsi="Calibri"/>
                <w:sz w:val="22"/>
              </w:rPr>
              <w:t>Record project backlog of $3.14B at March 31, 2026. ~80–85% of next 12 months contract revenue covered. Backlog has grown for 20 consecutive quarters. State and local DOT contract awards expected up 10–15% in 2026.</w:t>
            </w:r>
          </w:p>
        </w:tc>
        <w:tc>
          <w:tcPr>
            <w:tcW w:type="dxa" w:w="2880"/>
          </w:tcPr>
          <w:p>
            <w:r>
              <w:rPr>
                <w:rFonts w:ascii="Calibri" w:hAnsi="Calibri"/>
                <w:b/>
                <w:color w:val="30A46C"/>
                <w:sz w:val="22"/>
              </w:rPr>
              <w:t>Strongly positive. ROAD’s record backlog and 10–15% DOT award growth directly supports CRH’s roads segment demand outlook and pricing power.</w:t>
            </w:r>
          </w:p>
        </w:tc>
      </w:tr>
      <w:tr>
        <w:tc>
          <w:tcPr>
            <w:tcW w:type="dxa" w:w="2880"/>
          </w:tcPr>
          <w:p>
            <w:r>
              <w:rPr>
                <w:rFonts w:ascii="Calibri" w:hAnsi="Calibri"/>
                <w:sz w:val="22"/>
              </w:rPr>
              <w:t>Infrastructure Funding</w:t>
            </w:r>
          </w:p>
        </w:tc>
        <w:tc>
          <w:tcPr>
            <w:tcW w:type="dxa" w:w="2880"/>
          </w:tcPr>
          <w:p>
            <w:r>
              <w:rPr>
                <w:rFonts w:ascii="Calibri" w:hAnsi="Calibri"/>
                <w:sz w:val="22"/>
              </w:rPr>
              <w:t>Both parties and chambers working on a new 5-year surface transportation authorization in the "$500–$600 billion range." Continuing resolution seen as "largely business as usual." Reindustrialization trend accelerating, with Sunbelt states receiving large capital investment.</w:t>
            </w:r>
          </w:p>
        </w:tc>
        <w:tc>
          <w:tcPr>
            <w:tcW w:type="dxa" w:w="2880"/>
          </w:tcPr>
          <w:p>
            <w:r>
              <w:rPr>
                <w:rFonts w:ascii="Calibri" w:hAnsi="Calibri"/>
                <w:b/>
                <w:color w:val="30A46C"/>
                <w:sz w:val="22"/>
              </w:rPr>
              <w:t>Strongly positive. A $500–$600B reauthorization would be a step-up from IIJA and directly benefits CRH’s roads and aggregates businesses. CRH management has flagged this as a potential H2 2026 catalyst.</w:t>
            </w:r>
          </w:p>
        </w:tc>
      </w:tr>
      <w:tr>
        <w:tc>
          <w:tcPr>
            <w:tcW w:type="dxa" w:w="2880"/>
          </w:tcPr>
          <w:p>
            <w:r>
              <w:rPr>
                <w:rFonts w:ascii="Calibri" w:hAnsi="Calibri"/>
                <w:sz w:val="22"/>
              </w:rPr>
              <w:t>Data Centers &amp; Reindustrialization</w:t>
            </w:r>
          </w:p>
        </w:tc>
        <w:tc>
          <w:tcPr>
            <w:tcW w:type="dxa" w:w="2880"/>
          </w:tcPr>
          <w:p>
            <w:r>
              <w:rPr>
                <w:rFonts w:ascii="Calibri" w:hAnsi="Calibri"/>
                <w:sz w:val="22"/>
              </w:rPr>
              <w:t>~1,000 commercial projects expected in 2026 across 8 states. Data center projects in Texas (~$100M portfolio) and Alabama. NVIDIA/Corning investing $2.7B in NC and TX facilities. "Environment almost better today than 25 years ago for growth."</w:t>
            </w:r>
          </w:p>
        </w:tc>
        <w:tc>
          <w:tcPr>
            <w:tcW w:type="dxa" w:w="2880"/>
          </w:tcPr>
          <w:p>
            <w:r>
              <w:rPr>
                <w:rFonts w:ascii="Calibri" w:hAnsi="Calibri"/>
                <w:b/>
                <w:color w:val="30A46C"/>
                <w:sz w:val="22"/>
              </w:rPr>
              <w:t>Positive. Confirms CRH’s reindustrialization and data center thesis with specific project-level evidence in CRH’s core Sunbelt markets.</w:t>
            </w:r>
          </w:p>
        </w:tc>
      </w:tr>
      <w:tr>
        <w:tc>
          <w:tcPr>
            <w:tcW w:type="dxa" w:w="2880"/>
          </w:tcPr>
          <w:p>
            <w:r>
              <w:rPr>
                <w:rFonts w:ascii="Calibri" w:hAnsi="Calibri"/>
                <w:sz w:val="22"/>
              </w:rPr>
              <w:t>Energy / Liquid Asphalt</w:t>
            </w:r>
          </w:p>
        </w:tc>
        <w:tc>
          <w:tcPr>
            <w:tcW w:type="dxa" w:w="2880"/>
          </w:tcPr>
          <w:p>
            <w:r>
              <w:rPr>
                <w:rFonts w:ascii="Calibri" w:hAnsi="Calibri"/>
                <w:sz w:val="22"/>
              </w:rPr>
              <w:t>Energy volatility had "limited impact" due to liquid asphalt index protection on &gt;80% of revenue and physical diesel hedging. Liquid asphalt prices were actually declining in Q2, with terminal pricing below prior year. Pass-through cost model reacts quickly to commodity changes.</w:t>
            </w:r>
          </w:p>
        </w:tc>
        <w:tc>
          <w:tcPr>
            <w:tcW w:type="dxa" w:w="2880"/>
          </w:tcPr>
          <w:p>
            <w:r>
              <w:rPr>
                <w:rFonts w:ascii="Calibri" w:hAnsi="Calibri"/>
                <w:b/>
                <w:color w:val="30A46C"/>
                <w:sz w:val="22"/>
              </w:rPr>
              <w:t>Positive. CRH has similar hedging mechanisms. ROAD’s experience of limited energy cost impact in Q2 is a positive read-through for CRH’s asphalt and roads margins.</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Signal</w:t>
            </w:r>
          </w:p>
        </w:tc>
        <w:tc>
          <w:tcPr>
            <w:tcW w:type="dxa" w:w="2880"/>
            <w:shd w:val="clear" w:color="auto" w:fill="3B4259"/>
          </w:tcPr>
          <w:p>
            <w:r>
              <w:rPr>
                <w:rFonts w:ascii="Calibri" w:hAnsi="Calibri"/>
                <w:b/>
                <w:color w:val="FFFFFF"/>
                <w:sz w:val="22"/>
              </w:rPr>
              <w:t>Direction</w:t>
            </w:r>
          </w:p>
        </w:tc>
        <w:tc>
          <w:tcPr>
            <w:tcW w:type="dxa" w:w="2880"/>
            <w:shd w:val="clear" w:color="auto" w:fill="3B4259"/>
          </w:tcPr>
          <w:p>
            <w:r>
              <w:rPr>
                <w:rFonts w:ascii="Calibri" w:hAnsi="Calibri"/>
                <w:b/>
                <w:color w:val="FFFFFF"/>
                <w:sz w:val="22"/>
              </w:rPr>
              <w:t>Key Evidence</w:t>
            </w:r>
          </w:p>
        </w:tc>
      </w:tr>
      <w:tr>
        <w:tc>
          <w:tcPr>
            <w:tcW w:type="dxa" w:w="2880"/>
          </w:tcPr>
          <w:p>
            <w:r>
              <w:rPr>
                <w:rFonts w:ascii="Calibri" w:hAnsi="Calibri"/>
                <w:sz w:val="22"/>
              </w:rPr>
              <w:t>Aggregates Pricing</w:t>
            </w:r>
          </w:p>
        </w:tc>
        <w:tc>
          <w:tcPr>
            <w:tcW w:type="dxa" w:w="2880"/>
          </w:tcPr>
          <w:p>
            <w:r>
              <w:rPr>
                <w:rFonts w:ascii="Calibri" w:hAnsi="Calibri"/>
                <w:b/>
                <w:color w:val="30A46C"/>
                <w:sz w:val="22"/>
              </w:rPr>
              <w:t>Positive</w:t>
            </w:r>
          </w:p>
        </w:tc>
        <w:tc>
          <w:tcPr>
            <w:tcW w:type="dxa" w:w="2880"/>
          </w:tcPr>
          <w:p>
            <w:r>
              <w:rPr>
                <w:rFonts w:ascii="Calibri" w:hAnsi="Calibri"/>
                <w:sz w:val="22"/>
              </w:rPr>
              <w:t>VMC +5% YoY; mid-year increases tracking ahead of prior year; pricing expected to accelerate in H2</w:t>
            </w:r>
          </w:p>
        </w:tc>
      </w:tr>
      <w:tr>
        <w:tc>
          <w:tcPr>
            <w:tcW w:type="dxa" w:w="2880"/>
          </w:tcPr>
          <w:p>
            <w:r>
              <w:rPr>
                <w:rFonts w:ascii="Calibri" w:hAnsi="Calibri"/>
                <w:sz w:val="22"/>
              </w:rPr>
              <w:t>Aggregates Volumes</w:t>
            </w:r>
          </w:p>
        </w:tc>
        <w:tc>
          <w:tcPr>
            <w:tcW w:type="dxa" w:w="2880"/>
          </w:tcPr>
          <w:p>
            <w:r>
              <w:rPr>
                <w:rFonts w:ascii="Calibri" w:hAnsi="Calibri"/>
                <w:sz w:val="22"/>
              </w:rPr>
              <w:t>Neutral / Low-Single-Digit</w:t>
            </w:r>
          </w:p>
        </w:tc>
        <w:tc>
          <w:tcPr>
            <w:tcW w:type="dxa" w:w="2880"/>
          </w:tcPr>
          <w:p>
            <w:r>
              <w:rPr>
                <w:rFonts w:ascii="Calibri" w:hAnsi="Calibri"/>
                <w:sz w:val="22"/>
              </w:rPr>
              <w:t>VMC +1% YoY; EXP positive but modest; weather variability a factor</w:t>
            </w:r>
          </w:p>
        </w:tc>
      </w:tr>
      <w:tr>
        <w:tc>
          <w:tcPr>
            <w:tcW w:type="dxa" w:w="2880"/>
          </w:tcPr>
          <w:p>
            <w:r>
              <w:rPr>
                <w:rFonts w:ascii="Calibri" w:hAnsi="Calibri"/>
                <w:sz w:val="22"/>
              </w:rPr>
              <w:t>Cement Pricing</w:t>
            </w:r>
          </w:p>
        </w:tc>
        <w:tc>
          <w:tcPr>
            <w:tcW w:type="dxa" w:w="2880"/>
          </w:tcPr>
          <w:p>
            <w:r>
              <w:rPr>
                <w:rFonts w:ascii="Calibri" w:hAnsi="Calibri"/>
                <w:b/>
                <w:color w:val="E5484D"/>
                <w:sz w:val="22"/>
              </w:rPr>
              <w:t>Mixed</w:t>
            </w:r>
          </w:p>
        </w:tc>
        <w:tc>
          <w:tcPr>
            <w:tcW w:type="dxa" w:w="2880"/>
          </w:tcPr>
          <w:p>
            <w:r>
              <w:rPr>
                <w:rFonts w:ascii="Calibri" w:hAnsi="Calibri"/>
                <w:sz w:val="22"/>
              </w:rPr>
              <w:t>EXP net cement price -2% due to freight headwinds; gross price +1%; watch item for CRH Americas cement</w:t>
            </w:r>
          </w:p>
        </w:tc>
      </w:tr>
      <w:tr>
        <w:tc>
          <w:tcPr>
            <w:tcW w:type="dxa" w:w="2880"/>
          </w:tcPr>
          <w:p>
            <w:r>
              <w:rPr>
                <w:rFonts w:ascii="Calibri" w:hAnsi="Calibri"/>
                <w:sz w:val="22"/>
              </w:rPr>
              <w:t>Infrastructure Demand / IIJA</w:t>
            </w:r>
          </w:p>
        </w:tc>
        <w:tc>
          <w:tcPr>
            <w:tcW w:type="dxa" w:w="2880"/>
          </w:tcPr>
          <w:p>
            <w:r>
              <w:rPr>
                <w:rFonts w:ascii="Calibri" w:hAnsi="Calibri"/>
                <w:b/>
                <w:color w:val="30A46C"/>
                <w:sz w:val="22"/>
              </w:rPr>
              <w:t>Strongly Positive</w:t>
            </w:r>
          </w:p>
        </w:tc>
        <w:tc>
          <w:tcPr>
            <w:tcW w:type="dxa" w:w="2880"/>
          </w:tcPr>
          <w:p>
            <w:r>
              <w:rPr>
                <w:rFonts w:ascii="Calibri" w:hAnsi="Calibri"/>
                <w:sz w:val="22"/>
              </w:rPr>
              <w:t>VMC highway awards +20% YoY; ROAD DOT awards +10–15%; Build America 250 Act passed committee; $500–$600B reauthorization in discussion</w:t>
            </w:r>
          </w:p>
        </w:tc>
      </w:tr>
      <w:tr>
        <w:tc>
          <w:tcPr>
            <w:tcW w:type="dxa" w:w="2880"/>
          </w:tcPr>
          <w:p>
            <w:r>
              <w:rPr>
                <w:rFonts w:ascii="Calibri" w:hAnsi="Calibri"/>
                <w:sz w:val="22"/>
              </w:rPr>
              <w:t>Data Centers / Reindustrialization</w:t>
            </w:r>
          </w:p>
        </w:tc>
        <w:tc>
          <w:tcPr>
            <w:tcW w:type="dxa" w:w="2880"/>
          </w:tcPr>
          <w:p>
            <w:r>
              <w:rPr>
                <w:rFonts w:ascii="Calibri" w:hAnsi="Calibri"/>
                <w:b/>
                <w:color w:val="30A46C"/>
                <w:sz w:val="22"/>
              </w:rPr>
              <w:t>Strongly Positive</w:t>
            </w:r>
          </w:p>
        </w:tc>
        <w:tc>
          <w:tcPr>
            <w:tcW w:type="dxa" w:w="2880"/>
          </w:tcPr>
          <w:p>
            <w:r>
              <w:rPr>
                <w:rFonts w:ascii="Calibri" w:hAnsi="Calibri"/>
                <w:sz w:val="22"/>
              </w:rPr>
              <w:t>EXP doubled data center bids H1 2026 vs. H1 2025; VMC and ROAD both flagging accelerating project activity</w:t>
            </w:r>
          </w:p>
        </w:tc>
      </w:tr>
      <w:tr>
        <w:tc>
          <w:tcPr>
            <w:tcW w:type="dxa" w:w="2880"/>
          </w:tcPr>
          <w:p>
            <w:r>
              <w:rPr>
                <w:rFonts w:ascii="Calibri" w:hAnsi="Calibri"/>
                <w:sz w:val="22"/>
              </w:rPr>
              <w:t>Residential</w:t>
            </w:r>
          </w:p>
        </w:tc>
        <w:tc>
          <w:tcPr>
            <w:tcW w:type="dxa" w:w="2880"/>
          </w:tcPr>
          <w:p>
            <w:r>
              <w:rPr>
                <w:rFonts w:ascii="Calibri" w:hAnsi="Calibri"/>
                <w:sz w:val="22"/>
              </w:rPr>
              <w:t>Weak / As Expected</w:t>
            </w:r>
          </w:p>
        </w:tc>
        <w:tc>
          <w:tcPr>
            <w:tcW w:type="dxa" w:w="2880"/>
          </w:tcPr>
          <w:p>
            <w:r>
              <w:rPr>
                <w:rFonts w:ascii="Calibri" w:hAnsi="Calibri"/>
                <w:sz w:val="22"/>
              </w:rPr>
              <w:t>All peers confirm affordability headwinds; no near-term recovery catalyst; already in CRH guidance</w:t>
            </w:r>
          </w:p>
        </w:tc>
      </w:tr>
      <w:tr>
        <w:tc>
          <w:tcPr>
            <w:tcW w:type="dxa" w:w="2880"/>
          </w:tcPr>
          <w:p>
            <w:r>
              <w:rPr>
                <w:rFonts w:ascii="Calibri" w:hAnsi="Calibri"/>
                <w:sz w:val="22"/>
              </w:rPr>
              <w:t>Energy / Input Costs</w:t>
            </w:r>
          </w:p>
        </w:tc>
        <w:tc>
          <w:tcPr>
            <w:tcW w:type="dxa" w:w="2880"/>
          </w:tcPr>
          <w:p>
            <w:r>
              <w:rPr>
                <w:rFonts w:ascii="Calibri" w:hAnsi="Calibri"/>
                <w:b/>
                <w:color w:val="30A46C"/>
                <w:sz w:val="22"/>
              </w:rPr>
              <w:t>Manageable</w:t>
            </w:r>
          </w:p>
        </w:tc>
        <w:tc>
          <w:tcPr>
            <w:tcW w:type="dxa" w:w="2880"/>
          </w:tcPr>
          <w:p>
            <w:r>
              <w:rPr>
                <w:rFonts w:ascii="Calibri" w:hAnsi="Calibri"/>
                <w:sz w:val="22"/>
              </w:rPr>
              <w:t>ROAD: limited energy impact due to hedging; liquid asphalt prices declining in Q2; CRH has similar hedging program</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$8.5B Arcosa acquisition (June 22) is the dominant development since Q1 earnings — it is transformative in scale, accelerates CRH’s aggregates leadership, but raises leverage to ~2.4x pro forma and will be the central focus of the Q2 call.</w:t>
      </w:r>
    </w:p>
    <w:p>
      <w:pPr>
        <w:pStyle w:val="ListBullet"/>
        <w:ind w:left="360" w:hanging="360"/>
      </w:pPr>
      <w:r>
        <w:rPr>
          <w:rFonts w:ascii="Calibri" w:hAnsi="Calibri"/>
          <w:b/>
          <w:color w:val="525866"/>
          <w:sz w:val="22"/>
        </w:rPr>
        <w:t>June 22, 2026 — CRH agrees to acquire Arcosa (ACA) for $8.5B enterprise value ($150/share, 25% premium to 60-day VWAP).</w:t>
      </w:r>
      <w:r>
        <w:rPr>
          <w:rFonts w:ascii="Calibri" w:hAnsi="Calibri"/>
          <w:color w:val="525866"/>
          <w:sz w:val="22"/>
        </w:rPr>
        <w:t xml:space="preserve"> Arcosa’s Construction Products business adds 35Mt of annual aggregates production across 109 quarries, serving 13 of the 50 largest U.S. MSAs in Texas, NJ, AZ, FL, and TN. Engineered Structures adds critical infrastructure products for energy transmission (grid modernization, data centers). Deal expected to close Q1 2027; accretive to earnings, margin, and FCF in first 12 months. $175M run-rate cost synergies by year 3. Pro forma net leverage ~2.4x. </w:t>
      </w:r>
    </w:p>
    <w:p>
      <w:pPr>
        <w:pStyle w:val="ListBullet"/>
        <w:ind w:left="360" w:hanging="360"/>
      </w:pPr>
      <w:r>
        <w:rPr>
          <w:rFonts w:ascii="Calibri" w:hAnsi="Calibri"/>
          <w:i/>
          <w:color w:val="525866"/>
          <w:sz w:val="22"/>
        </w:rPr>
        <w:t xml:space="preserve">Implication: </w:t>
      </w:r>
      <w:r>
        <w:rPr>
          <w:rFonts w:ascii="Calibri" w:hAnsi="Calibri"/>
          <w:color w:val="525866"/>
          <w:sz w:val="22"/>
        </w:rPr>
        <w:t>Largest deal in CRH’s recent history. Reinforces #1 aggregates position in North America (combined &gt;265Mt production). Investors will want clarity on integration timeline, synergy confidence, and impact on buyback capacity. Potential overhang until deal closes.</w:t>
      </w:r>
    </w:p>
    <w:p>
      <w:pPr>
        <w:pStyle w:val="ListBullet"/>
        <w:ind w:left="360" w:hanging="360"/>
      </w:pPr>
      <w:r>
        <w:rPr>
          <w:rFonts w:ascii="Calibri" w:hAnsi="Calibri"/>
          <w:b/>
          <w:color w:val="525866"/>
          <w:sz w:val="22"/>
        </w:rPr>
        <w:t>July 17, 2026 — CRH secures $2.5B term loan to reduce Arcosa merger bridge facility.</w:t>
      </w:r>
      <w:r>
        <w:rPr>
          <w:rFonts w:ascii="Calibri" w:hAnsi="Calibri"/>
          <w:color w:val="525866"/>
          <w:sz w:val="22"/>
        </w:rPr>
        <w:t xml:space="preserve"> Financing execution confirmed. Implication: Reduces refinancing risk; confirms capital markets access at scale, but adds to gross debt load heading into Q2 print.</w:t>
      </w:r>
    </w:p>
    <w:p>
      <w:pPr>
        <w:pStyle w:val="ListBullet"/>
        <w:ind w:left="360" w:hanging="360"/>
      </w:pPr>
      <w:r>
        <w:rPr>
          <w:rFonts w:ascii="Calibri" w:hAnsi="Calibri"/>
          <w:b/>
          <w:color w:val="525866"/>
          <w:sz w:val="22"/>
        </w:rPr>
        <w:t>May 15, 2026 — CFO Nancy Buese departs; Aylwyn Bryan appointed CFO (effective May 12).</w:t>
      </w:r>
      <w:r>
        <w:rPr>
          <w:rFonts w:ascii="Calibri" w:hAnsi="Calibri"/>
          <w:color w:val="525866"/>
          <w:sz w:val="22"/>
        </w:rPr>
        <w:t xml:space="preserve"> Bryan is a 14-year CRH veteran, most recently CFO of Americas Division. Buese’s departure was by mutual agreement, not due to any disagreement on operations. Implication: Surprise departure created uncertainty; Bryan’s internal promotion is reassuring but investors will assess his first major earnings call as Group CFO.</w:t>
      </w:r>
    </w:p>
    <w:p>
      <w:pPr>
        <w:pStyle w:val="ListBullet"/>
        <w:ind w:left="360" w:hanging="360"/>
      </w:pPr>
      <w:r>
        <w:rPr>
          <w:rFonts w:ascii="Calibri" w:hAnsi="Calibri"/>
          <w:b/>
          <w:color w:val="525866"/>
          <w:sz w:val="22"/>
        </w:rPr>
        <w:t>June 16, 2026 — W. Anthony Will appointed to CRH Board.</w:t>
      </w:r>
      <w:r>
        <w:rPr>
          <w:rFonts w:ascii="Calibri" w:hAnsi="Calibri"/>
          <w:color w:val="525866"/>
          <w:sz w:val="22"/>
        </w:rPr>
        <w:t xml:space="preserve"> Will is the former CEO of CF Industries, bringing industrial and infrastructure expertise. Implication: Board strengthening; positive governance signal.</w:t>
      </w:r>
    </w:p>
    <w:p>
      <w:pPr>
        <w:pStyle w:val="ListBullet"/>
        <w:ind w:left="360" w:hanging="360"/>
      </w:pPr>
      <w:r>
        <w:rPr>
          <w:rFonts w:ascii="Calibri" w:hAnsi="Calibri"/>
          <w:b/>
          <w:color w:val="525866"/>
          <w:sz w:val="22"/>
        </w:rPr>
        <w:t>May 7, 2026 — CRH shareholders approve all AGM proposals, including preference share cancellation.</w:t>
      </w:r>
      <w:r>
        <w:rPr>
          <w:rFonts w:ascii="Calibri" w:hAnsi="Calibri"/>
          <w:color w:val="525866"/>
          <w:sz w:val="22"/>
        </w:rPr>
        <w:t xml:space="preserve"> Simplifies capital structure. Implication: Minor positive; removes a legacy complexity.</w:t>
      </w:r>
    </w:p>
    <w:p>
      <w:pPr>
        <w:pStyle w:val="ListBullet"/>
        <w:ind w:left="360" w:hanging="360"/>
      </w:pPr>
      <w:r>
        <w:rPr>
          <w:rFonts w:ascii="Calibri" w:hAnsi="Calibri"/>
          <w:b/>
          <w:color w:val="525866"/>
          <w:sz w:val="22"/>
        </w:rPr>
        <w:t>May 1, 2026 — CRH subsidiary resolves MSHA mine safety order at Oklahoma quarry.</w:t>
      </w:r>
      <w:r>
        <w:rPr>
          <w:rFonts w:ascii="Calibri" w:hAnsi="Calibri"/>
          <w:color w:val="525866"/>
          <w:sz w:val="22"/>
        </w:rPr>
        <w:t xml:space="preserve"> Implication: Operational; no material financial impact.</w:t>
      </w:r>
    </w:p>
    <w:p>
      <w:pPr>
        <w:pStyle w:val="ListBullet"/>
        <w:ind w:left="360" w:hanging="360"/>
      </w:pPr>
      <w:r>
        <w:rPr>
          <w:rFonts w:ascii="Calibri" w:hAnsi="Calibri"/>
          <w:b/>
          <w:color w:val="525866"/>
          <w:sz w:val="22"/>
        </w:rPr>
        <w:t>Analyst Actions (post-Q1 2026):</w:t>
      </w:r>
      <w:r>
        <w:rPr>
          <w:rFonts w:ascii="Calibri" w:hAnsi="Calibri"/>
          <w:color w:val="525866"/>
          <w:sz w:val="22"/>
        </w:rPr>
        <w:t xml:space="preserve"> Morgan Stanley reiterated Overweight with $139 PT (April 15). Jefferies raised PT from $149 to $165.60 with Buy (June 26, post-Arcosa). Wells Fargo lowered PT from $135 to $132 with Overweight (July 8). Sanford Bernstein reiterated Outperform (June 23). Consensus rating: Strong Buy / Buy (17 Strong Buy, 1 Moderate Buy, 1 Hold among 19 analysts). Average PT ~$144.81, implying ~39% upside from current ~$99.71.</w:t>
      </w:r>
    </w:p>
    <w:p>
      <w:pPr>
        <w:pStyle w:val="ListBullet"/>
        <w:ind w:left="360" w:hanging="360"/>
      </w:pPr>
      <w:r>
        <w:rPr>
          <w:rFonts w:ascii="Calibri" w:hAnsi="Calibri"/>
          <w:b/>
          <w:color w:val="525866"/>
          <w:sz w:val="22"/>
        </w:rPr>
        <w:t>Macro / Infrastructure Policy:</w:t>
      </w:r>
      <w:r>
        <w:rPr>
          <w:rFonts w:ascii="Calibri" w:hAnsi="Calibri"/>
          <w:color w:val="525866"/>
          <w:sz w:val="22"/>
        </w:rPr>
        <w:t xml:space="preserve"> House Transportation and Infrastructure Committee passed the Build America 250 Act (per VMC Q2 call, July 29). Both parties and chambers working on a new 5-year surface transportation authorization in the $500–$600B range (per ROAD, May 8). Continuing resolution scenario seen as manageable by all peers. State DOT budgets up 6% for 2026 (CRH Q1 call).</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Only one insider transaction was disclosed in the period since Q1 2026 earnings — a small open-market sale by the CEO. The transaction is modest in size and not part of a 10b5-1 plan, but given the stock’s ~16% decline since Q1 earnings, the absence of any open-market buying by insiders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Padraig O’Riordain</w:t>
            </w:r>
          </w:p>
        </w:tc>
        <w:tc>
          <w:tcPr>
            <w:tcW w:type="dxa" w:w="1440"/>
          </w:tcPr>
          <w:p>
            <w:r>
              <w:rPr>
                <w:rFonts w:ascii="Calibri" w:hAnsi="Calibri"/>
                <w:sz w:val="22"/>
              </w:rPr>
              <w:t>See Remarks (CEO / Senior Executive)</w:t>
            </w:r>
          </w:p>
        </w:tc>
        <w:tc>
          <w:tcPr>
            <w:tcW w:type="dxa" w:w="1440"/>
          </w:tcPr>
          <w:p>
            <w:r>
              <w:rPr>
                <w:rFonts w:ascii="Calibri" w:hAnsi="Calibri"/>
                <w:sz w:val="22"/>
              </w:rPr>
              <w:t>Open Market Sale</w:t>
            </w:r>
          </w:p>
        </w:tc>
        <w:tc>
          <w:tcPr>
            <w:tcW w:type="dxa" w:w="1440"/>
          </w:tcPr>
          <w:p>
            <w:r>
              <w:rPr>
                <w:rFonts w:ascii="Calibri" w:hAnsi="Calibri"/>
                <w:sz w:val="22"/>
              </w:rPr>
              <w:t>1,492 shares</w:t>
            </w:r>
          </w:p>
        </w:tc>
        <w:tc>
          <w:tcPr>
            <w:tcW w:type="dxa" w:w="1440"/>
          </w:tcPr>
          <w:p>
            <w:r>
              <w:rPr>
                <w:rFonts w:ascii="Calibri" w:hAnsi="Calibri"/>
                <w:sz w:val="22"/>
              </w:rPr>
              <w:t>May 15, 2026</w:t>
            </w:r>
          </w:p>
        </w:tc>
        <w:tc>
          <w:tcPr>
            <w:tcW w:type="dxa" w:w="1440"/>
          </w:tcPr>
          <w:p>
            <w:r>
              <w:rPr>
                <w:rFonts w:ascii="Calibri" w:hAnsi="Calibri"/>
                <w:sz w:val="22"/>
              </w:rPr>
              <w:t>Discretionary sale; not flagged as 10b5-1 plan. Sold ~55% of disclosed position (1,205 shares remaining post-sale). Modest in dollar terms. Filed May 18, 2026.</w:t>
            </w:r>
          </w:p>
        </w:tc>
      </w:tr>
    </w:tbl>
    <w:p>
      <w:r>
        <w:rPr>
          <w:rFonts w:ascii="Calibri" w:hAnsi="Calibri"/>
          <w:i/>
          <w:color w:val="525866"/>
          <w:sz w:val="22"/>
        </w:rPr>
        <w:t>Source: SEC Form 4 Filings Database. Window: April 30, 2026 – July 29, 2026 (since Q1 2026 earnings).</w:t>
      </w:r>
    </w:p>
    <w:p>
      <w:r>
        <w:rPr>
          <w:rFonts w:ascii="Calibri" w:hAnsi="Calibri"/>
          <w:color w:val="525866"/>
          <w:sz w:val="22"/>
        </w:rPr>
        <w:t>No open-market purchases were disclosed by any CRH insider in the period since Q1 2026 earnings. The single sale by O’Riordain is small in absolute terms but the lack of insider buying during a ~16% stock decline is a neutral-to-slightly-cautious signal. This may reflect blackout period constraints ahead of the Q2 print rather than a directional view.</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