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CRH plc (CRH)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CRH plc</w:t>
            </w:r>
          </w:p>
        </w:tc>
      </w:tr>
      <w:tr>
        <w:tc>
          <w:tcPr>
            <w:tcW w:type="dxa" w:w="4320"/>
          </w:tcPr>
          <w:p>
            <w:r>
              <w:rPr>
                <w:rFonts w:ascii="Calibri" w:hAnsi="Calibri"/>
                <w:b/>
                <w:sz w:val="22"/>
              </w:rPr>
              <w:t>Ticker</w:t>
            </w:r>
          </w:p>
        </w:tc>
        <w:tc>
          <w:tcPr>
            <w:tcW w:type="dxa" w:w="4320"/>
          </w:tcPr>
          <w:p>
            <w:r>
              <w:rPr>
                <w:rFonts w:ascii="Calibri" w:hAnsi="Calibri"/>
                <w:sz w:val="22"/>
              </w:rPr>
              <w:t>CRH (NYSE)</w:t>
            </w:r>
          </w:p>
        </w:tc>
      </w:tr>
      <w:tr>
        <w:tc>
          <w:tcPr>
            <w:tcW w:type="dxa" w:w="4320"/>
          </w:tcPr>
          <w:p>
            <w:r>
              <w:rPr>
                <w:rFonts w:ascii="Calibri" w:hAnsi="Calibri"/>
                <w:b/>
                <w:sz w:val="22"/>
              </w:rPr>
              <w:t>Upcoming Earnings Date</w:t>
            </w:r>
          </w:p>
        </w:tc>
        <w:tc>
          <w:tcPr>
            <w:tcW w:type="dxa" w:w="4320"/>
          </w:tcPr>
          <w:p>
            <w:r>
              <w:rPr>
                <w:rFonts w:ascii="Calibri" w:hAnsi="Calibri"/>
                <w:sz w:val="22"/>
              </w:rPr>
              <w:t>July 30, 2026 — Q2 2026 Earnings Call (8:00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Primary Valuation Metric</w:t>
            </w:r>
          </w:p>
        </w:tc>
        <w:tc>
          <w:tcPr>
            <w:tcW w:type="dxa" w:w="4320"/>
          </w:tcPr>
          <w:p>
            <w:r>
              <w:rPr>
                <w:rFonts w:ascii="Calibri" w:hAnsi="Calibri"/>
                <w:sz w:val="22"/>
              </w:rPr>
              <w:t>EV/EBITDA (NTM: ~9.9x)</w:t>
            </w:r>
          </w:p>
        </w:tc>
      </w:tr>
    </w:tbl>
    <w:p>
      <w:r>
        <w:br w:type="page"/>
      </w:r>
    </w:p>
    <w:p>
      <w:pPr>
        <w:pStyle w:val="Heading1"/>
        <w:pBdr>
          <w:bottom w:val="single" w:sz="4" w:space="1" w:color="FB9120"/>
        </w:pBdr>
      </w:pPr>
      <w:r>
        <w:rPr>
          <w:rFonts w:ascii="Calibri" w:hAnsi="Calibri"/>
          <w:b/>
          <w:color w:val="3B4259"/>
          <w:sz w:val="40"/>
        </w:rPr>
        <w:t>1. Earnings Preview</w:t>
      </w:r>
    </w:p>
    <w:tbl>
      <w:tblPr>
        <w:tblStyle w:val="TableGrid"/>
        <w:tblW w:type="auto" w:w="0"/>
        <w:tblLook w:firstColumn="1" w:firstRow="1" w:lastColumn="0" w:lastRow="0" w:noHBand="0" w:noVBand="1" w:val="04A0"/>
      </w:tblPr>
      <w:tblGrid>
        <w:gridCol w:w="8640"/>
      </w:tblGrid>
      <w:tr>
        <w:tc>
          <w:tcPr>
            <w:tcW w:type="dxa" w:w="8640"/>
          </w:tcPr>
          <w:p>
            <w:r>
              <w:rPr>
                <w:rFonts w:ascii="Calibri" w:hAnsi="Calibri"/>
                <w:b/>
                <w:sz w:val="22"/>
              </w:rPr>
              <w:t>Key Takeaway</w:t>
            </w:r>
          </w:p>
          <w:p>
            <w:r>
              <w:rPr>
                <w:rFonts w:ascii="Calibri" w:hAnsi="Calibri"/>
                <w:sz w:val="22"/>
              </w:rPr>
              <w:t>Setup is modestly constructive — consensus has drifted lower since Q1 earnings, creating a beatable bar on Adjusted EBITDA, but the Arcosa acquisition announcement and a new CFO are the dominant narratives; the biggest swing factor is whether management raises full-year EBITDA guidance above the $8.1–$8.5B range.</w:t>
            </w:r>
          </w:p>
        </w:tc>
      </w:tr>
    </w:tbl>
    <w:p>
      <w:r>
        <w:rPr>
          <w:rFonts w:ascii="Calibri" w:hAnsi="Calibri"/>
          <w:color w:val="525866"/>
          <w:sz w:val="22"/>
        </w:rPr>
        <w:t xml:space="preserve">Heading into Q2 2026 results, CRH faces a </w:t>
      </w:r>
      <w:r>
        <w:rPr>
          <w:rFonts w:ascii="Calibri" w:hAnsi="Calibri"/>
          <w:b/>
          <w:color w:val="525866"/>
          <w:sz w:val="22"/>
        </w:rPr>
        <w:t>modestly beatable consensus bar</w:t>
      </w:r>
      <w:r>
        <w:rPr>
          <w:rFonts w:ascii="Calibri" w:hAnsi="Calibri"/>
          <w:color w:val="525866"/>
          <w:sz w:val="22"/>
        </w:rPr>
        <w:t xml:space="preserve"> after estimates drifted ~1–2% lower since the April 30 Q1 print, with Q2 Adjusted EBITDA consensus now at ~$2.60B versus the $2.63B level that prevailed at last earnings. The company enters the quarter with </w:t>
      </w:r>
      <w:r>
        <w:rPr>
          <w:rFonts w:ascii="Calibri" w:hAnsi="Calibri"/>
          <w:b/>
          <w:color w:val="525866"/>
          <w:sz w:val="22"/>
        </w:rPr>
        <w:t>strong infrastructure tailwinds</w:t>
      </w:r>
      <w:r>
        <w:rPr>
          <w:rFonts w:ascii="Calibri" w:hAnsi="Calibri"/>
          <w:color w:val="525866"/>
          <w:sz w:val="22"/>
        </w:rPr>
        <w:t xml:space="preserve"> — approximately 50% of IIJA highway funds remain undeployed, state DOT budgets are up 6% YoY, and peer commentary from Vulcan Materials and Eagle Materials confirms robust public construction demand and data center activity — all of which should support CRH’s Americas Materials volumes and pricing. Management’s tone on the Q1 call was confident, reaffirming full-year EBITDA guidance of $8.1–$8.5B despite macro uncertainty, and the company has since executed on its capital recycling agenda (three divestitures for ~$1.9B, nine acquisitions including Axius Water). The stock has underperformed materially since Q1 earnings — down ~16% vs. XLB flat and S&amp;P 500 roughly flat — driven almost entirely by </w:t>
      </w:r>
      <w:r>
        <w:rPr>
          <w:rFonts w:ascii="Calibri" w:hAnsi="Calibri"/>
          <w:b/>
          <w:color w:val="525866"/>
          <w:sz w:val="22"/>
        </w:rPr>
        <w:t>multiple compression</w:t>
      </w:r>
      <w:r>
        <w:rPr>
          <w:rFonts w:ascii="Calibri" w:hAnsi="Calibri"/>
          <w:color w:val="525866"/>
          <w:sz w:val="22"/>
        </w:rPr>
        <w:t xml:space="preserve"> (EV/EBITDA contracted from ~11.7x to ~9.9x over six months) rather than estimate cuts, suggesting the stock has already priced in considerable uncertainty. The </w:t>
      </w:r>
      <w:r>
        <w:rPr>
          <w:rFonts w:ascii="Calibri" w:hAnsi="Calibri"/>
          <w:b/>
          <w:color w:val="525866"/>
          <w:sz w:val="22"/>
        </w:rPr>
        <w:t>key wildcard</w:t>
      </w:r>
      <w:r>
        <w:rPr>
          <w:rFonts w:ascii="Calibri" w:hAnsi="Calibri"/>
          <w:color w:val="525866"/>
          <w:sz w:val="22"/>
        </w:rPr>
        <w:t xml:space="preserve"> is the $11.5B Arcosa acquisition announced June 22: investors will scrutinize leverage trajectory, deal financing progress (bridge facility reduced to $3.25B via a $2.5B term loan on July 17), and whether management provides any updated synergy or accretion framework — any clarity here could be the single biggest re-rating catalyst at the print.</w:t>
      </w:r>
    </w:p>
    <w:p>
      <w:r>
        <w:br w:type="page"/>
      </w:r>
    </w:p>
    <w:p>
      <w:pPr>
        <w:pStyle w:val="Heading1"/>
        <w:pBdr>
          <w:bottom w:val="single" w:sz="4" w:space="1" w:color="FB9120"/>
        </w:pBdr>
      </w:pPr>
      <w:r>
        <w:rPr>
          <w:rFonts w:ascii="Calibri" w:hAnsi="Calibri"/>
          <w:b/>
          <w:color w:val="3B4259"/>
          <w:sz w:val="40"/>
        </w:rPr>
        <w:t>2. KPIs &amp; Consensus Expectations</w:t>
      </w:r>
    </w:p>
    <w:tbl>
      <w:tblPr>
        <w:tblStyle w:val="TableGrid"/>
        <w:tblW w:type="auto" w:w="0"/>
        <w:tblLook w:firstColumn="1" w:firstRow="1" w:lastColumn="0" w:lastRow="0" w:noHBand="0" w:noVBand="1" w:val="04A0"/>
      </w:tblPr>
      <w:tblGrid>
        <w:gridCol w:w="8640"/>
      </w:tblGrid>
      <w:tr>
        <w:tc>
          <w:tcPr>
            <w:tcW w:type="dxa" w:w="8640"/>
          </w:tcPr>
          <w:p>
            <w:r>
              <w:rPr>
                <w:rFonts w:ascii="Calibri" w:hAnsi="Calibri"/>
                <w:b/>
                <w:sz w:val="22"/>
              </w:rPr>
              <w:t>Key Takeaway</w:t>
            </w:r>
          </w:p>
          <w:p>
            <w:r>
              <w:rPr>
                <w:rFonts w:ascii="Calibri" w:hAnsi="Calibri"/>
                <w:sz w:val="22"/>
              </w:rPr>
              <w:t>Consensus is a modestly low bar on Adjusted EBITDA after ~1–2% downward drift since Q1 earnings; Aggregates pricing is the bigger swing factor — consensus expects only +3% YoY vs. management’s mid-single-digit full-year target, leaving room for a positive surprise if Q1’s +5% mix-adjusted pricing momentum carried into Q2.</w:t>
            </w:r>
          </w:p>
        </w:tc>
      </w:tr>
    </w:tbl>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 (Last Quarter)</w:t>
            </w:r>
          </w:p>
        </w:tc>
        <w:tc>
          <w:tcPr>
            <w:tcW w:type="dxa" w:w="1440"/>
            <w:shd w:val="clear" w:color="auto" w:fill="3B4259"/>
          </w:tcPr>
          <w:p>
            <w:r>
              <w:rPr>
                <w:rFonts w:ascii="Calibri" w:hAnsi="Calibri"/>
                <w:b/>
                <w:color w:val="FFFFFF"/>
                <w:sz w:val="22"/>
              </w:rPr>
              <w:t>Q2 2025 Actual (Prior Year Period)</w:t>
            </w:r>
          </w:p>
        </w:tc>
        <w:tc>
          <w:tcPr>
            <w:tcW w:type="dxa" w:w="1440"/>
            <w:shd w:val="clear" w:color="auto" w:fill="3B4259"/>
          </w:tcPr>
          <w:p>
            <w:r>
              <w:rPr>
                <w:rFonts w:ascii="Calibri" w:hAnsi="Calibri"/>
                <w:b/>
                <w:color w:val="FFFFFF"/>
                <w:sz w:val="22"/>
              </w:rPr>
              <w:t>Q2 2026 Consensus Estimate</w:t>
            </w:r>
          </w:p>
        </w:tc>
        <w:tc>
          <w:tcPr>
            <w:tcW w:type="dxa" w:w="1440"/>
            <w:shd w:val="clear" w:color="auto" w:fill="3B4259"/>
          </w:tcPr>
          <w:p>
            <w:r>
              <w:rPr>
                <w:rFonts w:ascii="Calibri" w:hAnsi="Calibri"/>
                <w:b/>
                <w:color w:val="FFFFFF"/>
                <w:sz w:val="22"/>
              </w:rPr>
              <w:t>YoY Change (vs. Q2 2025)</w:t>
            </w:r>
          </w:p>
        </w:tc>
        <w:tc>
          <w:tcPr>
            <w:tcW w:type="dxa" w:w="1440"/>
            <w:shd w:val="clear" w:color="auto" w:fill="3B4259"/>
          </w:tcPr>
          <w:p>
            <w:r>
              <w:rPr>
                <w:rFonts w:ascii="Calibri" w:hAnsi="Calibri"/>
                <w:b/>
                <w:color w:val="FFFFFF"/>
                <w:sz w:val="22"/>
              </w:rPr>
              <w:t>FY 2026 Guidance (Last Call)</w:t>
            </w:r>
          </w:p>
        </w:tc>
      </w:tr>
      <w:tr>
        <w:tc>
          <w:tcPr>
            <w:tcW w:type="dxa" w:w="1440"/>
          </w:tcPr>
          <w:p>
            <w:r>
              <w:rPr>
                <w:rFonts w:ascii="Calibri" w:hAnsi="Calibri"/>
                <w:sz w:val="22"/>
              </w:rPr>
              <w:t>Total Revenue ($B)</w:t>
            </w:r>
          </w:p>
        </w:tc>
        <w:tc>
          <w:tcPr>
            <w:tcW w:type="dxa" w:w="1440"/>
          </w:tcPr>
          <w:p>
            <w:r>
              <w:rPr>
                <w:rFonts w:ascii="Calibri" w:hAnsi="Calibri"/>
                <w:sz w:val="22"/>
              </w:rPr>
              <w:t>$7.37B</w:t>
            </w:r>
          </w:p>
        </w:tc>
        <w:tc>
          <w:tcPr>
            <w:tcW w:type="dxa" w:w="1440"/>
          </w:tcPr>
          <w:p>
            <w:r>
              <w:rPr>
                <w:rFonts w:ascii="Calibri" w:hAnsi="Calibri"/>
                <w:sz w:val="22"/>
              </w:rPr>
              <w:t>$10.21B</w:t>
            </w:r>
          </w:p>
        </w:tc>
        <w:tc>
          <w:tcPr>
            <w:tcW w:type="dxa" w:w="1440"/>
          </w:tcPr>
          <w:p>
            <w:r>
              <w:rPr>
                <w:rFonts w:ascii="Calibri" w:hAnsi="Calibri"/>
                <w:sz w:val="22"/>
              </w:rPr>
              <w:t>$10.71B</w:t>
            </w:r>
          </w:p>
        </w:tc>
        <w:tc>
          <w:tcPr>
            <w:tcW w:type="dxa" w:w="1440"/>
          </w:tcPr>
          <w:p>
            <w:r>
              <w:rPr>
                <w:rFonts w:ascii="Calibri" w:hAnsi="Calibri"/>
                <w:sz w:val="22"/>
              </w:rPr>
              <w:t>+4.9%</w:t>
            </w:r>
          </w:p>
        </w:tc>
        <w:tc>
          <w:tcPr>
            <w:tcW w:type="dxa" w:w="1440"/>
          </w:tcPr>
          <w:p>
            <w:r>
              <w:rPr>
                <w:rFonts w:ascii="Calibri" w:hAnsi="Calibri"/>
                <w:sz w:val="22"/>
              </w:rPr>
              <w:t>~$39.6B (consensus)</w:t>
            </w:r>
          </w:p>
        </w:tc>
      </w:tr>
      <w:tr>
        <w:tc>
          <w:tcPr>
            <w:tcW w:type="dxa" w:w="1440"/>
          </w:tcPr>
          <w:p>
            <w:r>
              <w:rPr>
                <w:rFonts w:ascii="Calibri" w:hAnsi="Calibri"/>
                <w:sz w:val="22"/>
              </w:rPr>
              <w:t>Adjusted EBITDA ($B)</w:t>
            </w:r>
          </w:p>
        </w:tc>
        <w:tc>
          <w:tcPr>
            <w:tcW w:type="dxa" w:w="1440"/>
          </w:tcPr>
          <w:p>
            <w:r>
              <w:rPr>
                <w:rFonts w:ascii="Calibri" w:hAnsi="Calibri"/>
                <w:sz w:val="22"/>
              </w:rPr>
              <w:t>$0.586B</w:t>
            </w:r>
          </w:p>
        </w:tc>
        <w:tc>
          <w:tcPr>
            <w:tcW w:type="dxa" w:w="1440"/>
          </w:tcPr>
          <w:p>
            <w:r>
              <w:rPr>
                <w:rFonts w:ascii="Calibri" w:hAnsi="Calibri"/>
                <w:sz w:val="22"/>
              </w:rPr>
              <w:t>$2.463B</w:t>
            </w:r>
          </w:p>
        </w:tc>
        <w:tc>
          <w:tcPr>
            <w:tcW w:type="dxa" w:w="1440"/>
          </w:tcPr>
          <w:p>
            <w:r>
              <w:rPr>
                <w:rFonts w:ascii="Calibri" w:hAnsi="Calibri"/>
                <w:sz w:val="22"/>
              </w:rPr>
              <w:t>$2.597B</w:t>
            </w:r>
          </w:p>
        </w:tc>
        <w:tc>
          <w:tcPr>
            <w:tcW w:type="dxa" w:w="1440"/>
          </w:tcPr>
          <w:p>
            <w:r>
              <w:rPr>
                <w:rFonts w:ascii="Calibri" w:hAnsi="Calibri"/>
                <w:sz w:val="22"/>
              </w:rPr>
              <w:t>+5.4%</w:t>
            </w:r>
          </w:p>
        </w:tc>
        <w:tc>
          <w:tcPr>
            <w:tcW w:type="dxa" w:w="1440"/>
          </w:tcPr>
          <w:p>
            <w:r>
              <w:rPr>
                <w:rFonts w:ascii="Calibri" w:hAnsi="Calibri"/>
                <w:sz w:val="22"/>
              </w:rPr>
              <w:t>$8.1B–$8.5B</w:t>
            </w:r>
          </w:p>
        </w:tc>
      </w:tr>
      <w:tr>
        <w:tc>
          <w:tcPr>
            <w:tcW w:type="dxa" w:w="1440"/>
          </w:tcPr>
          <w:p>
            <w:r>
              <w:rPr>
                <w:rFonts w:ascii="Calibri" w:hAnsi="Calibri"/>
                <w:sz w:val="22"/>
              </w:rPr>
              <w:t>Operating EPS — Diluted ($)</w:t>
            </w:r>
          </w:p>
        </w:tc>
        <w:tc>
          <w:tcPr>
            <w:tcW w:type="dxa" w:w="1440"/>
          </w:tcPr>
          <w:p>
            <w:r>
              <w:rPr>
                <w:rFonts w:ascii="Calibri" w:hAnsi="Calibri"/>
                <w:sz w:val="22"/>
              </w:rPr>
              <w:t>-$0.27</w:t>
            </w:r>
          </w:p>
        </w:tc>
        <w:tc>
          <w:tcPr>
            <w:tcW w:type="dxa" w:w="1440"/>
          </w:tcPr>
          <w:p>
            <w:r>
              <w:rPr>
                <w:rFonts w:ascii="Calibri" w:hAnsi="Calibri"/>
                <w:sz w:val="22"/>
              </w:rPr>
              <w:t>$1.94</w:t>
            </w:r>
          </w:p>
        </w:tc>
        <w:tc>
          <w:tcPr>
            <w:tcW w:type="dxa" w:w="1440"/>
          </w:tcPr>
          <w:p>
            <w:r>
              <w:rPr>
                <w:rFonts w:ascii="Calibri" w:hAnsi="Calibri"/>
                <w:sz w:val="22"/>
              </w:rPr>
              <w:t>$2.06</w:t>
            </w:r>
          </w:p>
        </w:tc>
        <w:tc>
          <w:tcPr>
            <w:tcW w:type="dxa" w:w="1440"/>
          </w:tcPr>
          <w:p>
            <w:r>
              <w:rPr>
                <w:rFonts w:ascii="Calibri" w:hAnsi="Calibri"/>
                <w:sz w:val="22"/>
              </w:rPr>
              <w:t>+6.2%</w:t>
            </w:r>
          </w:p>
        </w:tc>
        <w:tc>
          <w:tcPr>
            <w:tcW w:type="dxa" w:w="1440"/>
          </w:tcPr>
          <w:p>
            <w:r>
              <w:rPr>
                <w:rFonts w:ascii="Calibri" w:hAnsi="Calibri"/>
                <w:sz w:val="22"/>
              </w:rPr>
              <w:t>$5.60–$6.05</w:t>
            </w:r>
          </w:p>
        </w:tc>
      </w:tr>
      <w:tr>
        <w:tc>
          <w:tcPr>
            <w:tcW w:type="dxa" w:w="1440"/>
          </w:tcPr>
          <w:p>
            <w:r>
              <w:rPr>
                <w:rFonts w:ascii="Calibri" w:hAnsi="Calibri"/>
                <w:sz w:val="22"/>
              </w:rPr>
              <w:t>Aggregates Price Impact (% YoY)</w:t>
            </w:r>
          </w:p>
        </w:tc>
        <w:tc>
          <w:tcPr>
            <w:tcW w:type="dxa" w:w="1440"/>
          </w:tcPr>
          <w:p>
            <w:r>
              <w:rPr>
                <w:rFonts w:ascii="Calibri" w:hAnsi="Calibri"/>
                <w:sz w:val="22"/>
              </w:rPr>
              <w:t>-1%</w:t>
            </w:r>
          </w:p>
        </w:tc>
        <w:tc>
          <w:tcPr>
            <w:tcW w:type="dxa" w:w="1440"/>
          </w:tcPr>
          <w:p>
            <w:r>
              <w:rPr>
                <w:rFonts w:ascii="Calibri" w:hAnsi="Calibri"/>
                <w:sz w:val="22"/>
              </w:rPr>
              <w:t>+4%</w:t>
            </w:r>
          </w:p>
        </w:tc>
        <w:tc>
          <w:tcPr>
            <w:tcW w:type="dxa" w:w="1440"/>
          </w:tcPr>
          <w:p>
            <w:r>
              <w:rPr>
                <w:rFonts w:ascii="Calibri" w:hAnsi="Calibri"/>
                <w:sz w:val="22"/>
              </w:rPr>
              <w:t>+3%</w:t>
            </w:r>
          </w:p>
        </w:tc>
        <w:tc>
          <w:tcPr>
            <w:tcW w:type="dxa" w:w="1440"/>
          </w:tcPr>
          <w:p>
            <w:r>
              <w:rPr>
                <w:rFonts w:ascii="Calibri" w:hAnsi="Calibri"/>
                <w:sz w:val="22"/>
              </w:rPr>
              <w:t>N/A</w:t>
            </w:r>
          </w:p>
        </w:tc>
        <w:tc>
          <w:tcPr>
            <w:tcW w:type="dxa" w:w="1440"/>
          </w:tcPr>
          <w:p>
            <w:r>
              <w:rPr>
                <w:rFonts w:ascii="Calibri" w:hAnsi="Calibri"/>
                <w:sz w:val="22"/>
              </w:rPr>
              <w:t>Mid-single digit</w:t>
            </w:r>
          </w:p>
        </w:tc>
      </w:tr>
      <w:tr>
        <w:tc>
          <w:tcPr>
            <w:tcW w:type="dxa" w:w="1440"/>
          </w:tcPr>
          <w:p>
            <w:r>
              <w:rPr>
                <w:rFonts w:ascii="Calibri" w:hAnsi="Calibri"/>
                <w:sz w:val="22"/>
              </w:rPr>
              <w:t>Aggregates Volume Impact (% YoY)</w:t>
            </w:r>
          </w:p>
        </w:tc>
        <w:tc>
          <w:tcPr>
            <w:tcW w:type="dxa" w:w="1440"/>
          </w:tcPr>
          <w:p>
            <w:r>
              <w:rPr>
                <w:rFonts w:ascii="Calibri" w:hAnsi="Calibri"/>
                <w:sz w:val="22"/>
              </w:rPr>
              <w:t>+14%</w:t>
            </w:r>
          </w:p>
        </w:tc>
        <w:tc>
          <w:tcPr>
            <w:tcW w:type="dxa" w:w="1440"/>
          </w:tcPr>
          <w:p>
            <w:r>
              <w:rPr>
                <w:rFonts w:ascii="Calibri" w:hAnsi="Calibri"/>
                <w:sz w:val="22"/>
              </w:rPr>
              <w:t>+5%</w:t>
            </w:r>
          </w:p>
        </w:tc>
        <w:tc>
          <w:tcPr>
            <w:tcW w:type="dxa" w:w="1440"/>
          </w:tcPr>
          <w:p>
            <w:r>
              <w:rPr>
                <w:rFonts w:ascii="Calibri" w:hAnsi="Calibri"/>
                <w:sz w:val="22"/>
              </w:rPr>
              <w:t>+3%</w:t>
            </w:r>
          </w:p>
        </w:tc>
        <w:tc>
          <w:tcPr>
            <w:tcW w:type="dxa" w:w="1440"/>
          </w:tcPr>
          <w:p>
            <w:r>
              <w:rPr>
                <w:rFonts w:ascii="Calibri" w:hAnsi="Calibri"/>
                <w:sz w:val="22"/>
              </w:rPr>
              <w:t>N/A</w:t>
            </w:r>
          </w:p>
        </w:tc>
        <w:tc>
          <w:tcPr>
            <w:tcW w:type="dxa" w:w="1440"/>
          </w:tcPr>
          <w:p>
            <w:r>
              <w:rPr>
                <w:rFonts w:ascii="Calibri" w:hAnsi="Calibri"/>
                <w:sz w:val="22"/>
              </w:rPr>
              <w:t>Low-single digit</w:t>
            </w:r>
          </w:p>
        </w:tc>
      </w:tr>
    </w:tbl>
    <w:p>
      <w:r>
        <w:rPr>
          <w:rFonts w:ascii="Calibri" w:hAnsi="Calibri"/>
          <w:i/>
          <w:color w:val="525866"/>
          <w:sz w:val="22"/>
        </w:rPr>
        <w:t>Sources: Visible Alpha Consensus and Actuals Data</w:t>
      </w:r>
      <w:r>
        <w:rPr>
          <w:rFonts w:ascii="Calibri" w:hAnsi="Calibri"/>
          <w:i/>
          <w:color w:val="525866"/>
          <w:sz w:val="22"/>
        </w:rPr>
        <w:t xml:space="preserve"> — Total Revenue: </w:t>
      </w:r>
      <w:r>
        <w:rPr>
          <w:rFonts w:ascii="Calibri" w:hAnsi="Calibri"/>
          <w:i/>
          <w:color w:val="525866"/>
          <w:sz w:val="22"/>
        </w:rPr>
        <w:t>Visible Alpha Consensus and Actuals Data</w:t>
      </w:r>
      <w:r>
        <w:rPr>
          <w:rFonts w:ascii="Calibri" w:hAnsi="Calibri"/>
          <w:i/>
          <w:color w:val="525866"/>
          <w:sz w:val="22"/>
        </w:rPr>
        <w:t xml:space="preserve">; EBITDA – Operating: </w:t>
      </w:r>
      <w:r>
        <w:rPr>
          <w:rFonts w:ascii="Calibri" w:hAnsi="Calibri"/>
          <w:i/>
          <w:color w:val="525866"/>
          <w:sz w:val="22"/>
        </w:rPr>
        <w:t>Visible Alpha Consensus and Actuals Data</w:t>
      </w:r>
      <w:r>
        <w:rPr>
          <w:rFonts w:ascii="Calibri" w:hAnsi="Calibri"/>
          <w:i/>
          <w:color w:val="525866"/>
          <w:sz w:val="22"/>
        </w:rPr>
        <w:t xml:space="preserve">; EPS – Diluted – Operating: </w:t>
      </w:r>
      <w:r>
        <w:rPr>
          <w:rFonts w:ascii="Calibri" w:hAnsi="Calibri"/>
          <w:i/>
          <w:color w:val="525866"/>
          <w:sz w:val="22"/>
        </w:rPr>
        <w:t>Visible Alpha Consensus and Actuals Data</w:t>
      </w:r>
      <w:r>
        <w:rPr>
          <w:rFonts w:ascii="Calibri" w:hAnsi="Calibri"/>
          <w:i/>
          <w:color w:val="525866"/>
          <w:sz w:val="22"/>
        </w:rPr>
        <w:t xml:space="preserve">; Aggregates Price/Volume Impact: </w:t>
      </w:r>
      <w:r>
        <w:rPr>
          <w:rFonts w:ascii="Calibri" w:hAnsi="Calibri"/>
          <w:i/>
          <w:color w:val="525866"/>
          <w:sz w:val="22"/>
        </w:rPr>
        <w:t>Visible Alpha Consensus and Actuals Data</w:t>
      </w:r>
      <w:r>
        <w:rPr>
          <w:rFonts w:ascii="Calibri" w:hAnsi="Calibri"/>
          <w:i/>
          <w:color w:val="525866"/>
          <w:sz w:val="22"/>
        </w:rPr>
        <w:t>. FY 2026 guidance from CRH Q1 2026 Earnings Call (April 30, 2026).</w:t>
      </w:r>
    </w:p>
    <w:p>
      <w:pPr>
        <w:pStyle w:val="Heading2"/>
      </w:pPr>
      <w:r>
        <w:rPr>
          <w:rFonts w:ascii="Calibri" w:hAnsi="Calibri"/>
          <w:b/>
          <w:color w:val="3B4259"/>
          <w:sz w:val="28"/>
        </w:rPr>
        <w:t>Table 2 — Beat/Miss History (Last 8 Quarters)</w:t>
      </w:r>
    </w:p>
    <w:p>
      <w:r>
        <w:rPr>
          <w:rFonts w:ascii="Calibri" w:hAnsi="Calibri"/>
          <w:b/>
          <w:color w:val="525866"/>
          <w:sz w:val="22"/>
        </w:rPr>
        <w:t>Top 2 KPIs: Adjusted EBITDA and Total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$7.37B</w:t>
            </w:r>
          </w:p>
        </w:tc>
        <w:tc>
          <w:tcPr>
            <w:tcW w:type="dxa" w:w="1440"/>
          </w:tcPr>
          <w:p>
            <w:r>
              <w:rPr>
                <w:rFonts w:ascii="Calibri" w:hAnsi="Calibri"/>
                <w:sz w:val="22"/>
              </w:rPr>
              <w:t>$7.08B</w:t>
            </w:r>
          </w:p>
        </w:tc>
        <w:tc>
          <w:tcPr>
            <w:tcW w:type="dxa" w:w="1440"/>
          </w:tcPr>
          <w:p>
            <w:r>
              <w:rPr>
                <w:rFonts w:ascii="Calibri" w:hAnsi="Calibri"/>
                <w:b/>
                <w:color w:val="30A46C"/>
                <w:sz w:val="22"/>
              </w:rPr>
              <w:t>+4.1%</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$0.586B</w:t>
            </w:r>
          </w:p>
        </w:tc>
        <w:tc>
          <w:tcPr>
            <w:tcW w:type="dxa" w:w="1440"/>
          </w:tcPr>
          <w:p>
            <w:r>
              <w:rPr>
                <w:rFonts w:ascii="Calibri" w:hAnsi="Calibri"/>
                <w:sz w:val="22"/>
              </w:rPr>
              <w:t>$0.544B</w:t>
            </w:r>
          </w:p>
        </w:tc>
        <w:tc>
          <w:tcPr>
            <w:tcW w:type="dxa" w:w="1440"/>
          </w:tcPr>
          <w:p>
            <w:r>
              <w:rPr>
                <w:rFonts w:ascii="Calibri" w:hAnsi="Calibri"/>
                <w:b/>
                <w:color w:val="30A46C"/>
                <w:sz w:val="22"/>
              </w:rPr>
              <w:t>+7.7%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$9.416B</w:t>
            </w:r>
          </w:p>
        </w:tc>
        <w:tc>
          <w:tcPr>
            <w:tcW w:type="dxa" w:w="1440"/>
          </w:tcPr>
          <w:p>
            <w:r>
              <w:rPr>
                <w:rFonts w:ascii="Calibri" w:hAnsi="Calibri"/>
                <w:sz w:val="22"/>
              </w:rPr>
              <w:t>$9.479B</w:t>
            </w:r>
          </w:p>
        </w:tc>
        <w:tc>
          <w:tcPr>
            <w:tcW w:type="dxa" w:w="1440"/>
          </w:tcPr>
          <w:p>
            <w:r>
              <w:rPr>
                <w:rFonts w:ascii="Calibri" w:hAnsi="Calibri"/>
                <w:b/>
                <w:color w:val="E5484D"/>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$2.028B</w:t>
            </w:r>
          </w:p>
        </w:tc>
        <w:tc>
          <w:tcPr>
            <w:tcW w:type="dxa" w:w="1440"/>
          </w:tcPr>
          <w:p>
            <w:r>
              <w:rPr>
                <w:rFonts w:ascii="Calibri" w:hAnsi="Calibri"/>
                <w:sz w:val="22"/>
              </w:rPr>
              <w:t>$2.000B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$11.069B</w:t>
            </w:r>
          </w:p>
        </w:tc>
        <w:tc>
          <w:tcPr>
            <w:tcW w:type="dxa" w:w="1440"/>
          </w:tcPr>
          <w:p>
            <w:r>
              <w:rPr>
                <w:rFonts w:ascii="Calibri" w:hAnsi="Calibri"/>
                <w:sz w:val="22"/>
              </w:rPr>
              <w:t>$11.179B</w:t>
            </w:r>
          </w:p>
        </w:tc>
        <w:tc>
          <w:tcPr>
            <w:tcW w:type="dxa" w:w="1440"/>
          </w:tcPr>
          <w:p>
            <w:r>
              <w:rPr>
                <w:rFonts w:ascii="Calibri" w:hAnsi="Calibri"/>
                <w:b/>
                <w:color w:val="E5484D"/>
                <w:sz w:val="22"/>
              </w:rPr>
              <w:t>-1.0%</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$2.695B</w:t>
            </w:r>
          </w:p>
        </w:tc>
        <w:tc>
          <w:tcPr>
            <w:tcW w:type="dxa" w:w="1440"/>
          </w:tcPr>
          <w:p>
            <w:r>
              <w:rPr>
                <w:rFonts w:ascii="Calibri" w:hAnsi="Calibri"/>
                <w:sz w:val="22"/>
              </w:rPr>
              <w:t>$2.686B</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$10.206B</w:t>
            </w:r>
          </w:p>
        </w:tc>
        <w:tc>
          <w:tcPr>
            <w:tcW w:type="dxa" w:w="1440"/>
          </w:tcPr>
          <w:p>
            <w:r>
              <w:rPr>
                <w:rFonts w:ascii="Calibri" w:hAnsi="Calibri"/>
                <w:sz w:val="22"/>
              </w:rPr>
              <w:t>$10.247B</w:t>
            </w:r>
          </w:p>
        </w:tc>
        <w:tc>
          <w:tcPr>
            <w:tcW w:type="dxa" w:w="1440"/>
          </w:tcPr>
          <w:p>
            <w:r>
              <w:rPr>
                <w:rFonts w:ascii="Calibri" w:hAnsi="Calibri"/>
                <w:b/>
                <w:color w:val="E5484D"/>
                <w:sz w:val="22"/>
              </w:rPr>
              <w:t>-0.4%</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$2.463B</w:t>
            </w:r>
          </w:p>
        </w:tc>
        <w:tc>
          <w:tcPr>
            <w:tcW w:type="dxa" w:w="1440"/>
          </w:tcPr>
          <w:p>
            <w:r>
              <w:rPr>
                <w:rFonts w:ascii="Calibri" w:hAnsi="Calibri"/>
                <w:sz w:val="22"/>
              </w:rPr>
              <w:t>$2.411B</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$6.756B</w:t>
            </w:r>
          </w:p>
        </w:tc>
        <w:tc>
          <w:tcPr>
            <w:tcW w:type="dxa" w:w="1440"/>
          </w:tcPr>
          <w:p>
            <w:r>
              <w:rPr>
                <w:rFonts w:ascii="Calibri" w:hAnsi="Calibri"/>
                <w:sz w:val="22"/>
              </w:rPr>
              <w:t>$6.731B</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$0.495B</w:t>
            </w:r>
          </w:p>
        </w:tc>
        <w:tc>
          <w:tcPr>
            <w:tcW w:type="dxa" w:w="1440"/>
          </w:tcPr>
          <w:p>
            <w:r>
              <w:rPr>
                <w:rFonts w:ascii="Calibri" w:hAnsi="Calibri"/>
                <w:sz w:val="22"/>
              </w:rPr>
              <w:t>$0.498B</w:t>
            </w:r>
          </w:p>
        </w:tc>
        <w:tc>
          <w:tcPr>
            <w:tcW w:type="dxa" w:w="1440"/>
          </w:tcPr>
          <w:p>
            <w:r>
              <w:rPr>
                <w:rFonts w:ascii="Calibri" w:hAnsi="Calibri"/>
                <w:b/>
                <w:color w:val="E5484D"/>
                <w:sz w:val="22"/>
              </w:rPr>
              <w:t>-0.6%</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$8.870B</w:t>
            </w:r>
          </w:p>
        </w:tc>
        <w:tc>
          <w:tcPr>
            <w:tcW w:type="dxa" w:w="1440"/>
          </w:tcPr>
          <w:p>
            <w:r>
              <w:rPr>
                <w:rFonts w:ascii="Calibri" w:hAnsi="Calibri"/>
                <w:sz w:val="22"/>
              </w:rPr>
              <w:t>$9.247B</w:t>
            </w:r>
          </w:p>
        </w:tc>
        <w:tc>
          <w:tcPr>
            <w:tcW w:type="dxa" w:w="1440"/>
          </w:tcPr>
          <w:p>
            <w:r>
              <w:rPr>
                <w:rFonts w:ascii="Calibri" w:hAnsi="Calibri"/>
                <w:b/>
                <w:color w:val="E5484D"/>
                <w:sz w:val="22"/>
              </w:rPr>
              <w:t>-4.1%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$1.776B</w:t>
            </w:r>
          </w:p>
        </w:tc>
        <w:tc>
          <w:tcPr>
            <w:tcW w:type="dxa" w:w="1440"/>
          </w:tcPr>
          <w:p>
            <w:r>
              <w:rPr>
                <w:rFonts w:ascii="Calibri" w:hAnsi="Calibri"/>
                <w:sz w:val="22"/>
              </w:rPr>
              <w:t>$1.773B</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$10.515B</w:t>
            </w:r>
          </w:p>
        </w:tc>
        <w:tc>
          <w:tcPr>
            <w:tcW w:type="dxa" w:w="1440"/>
          </w:tcPr>
          <w:p>
            <w:r>
              <w:rPr>
                <w:rFonts w:ascii="Calibri" w:hAnsi="Calibri"/>
                <w:sz w:val="22"/>
              </w:rPr>
              <w:t>$10.684B</w:t>
            </w:r>
          </w:p>
        </w:tc>
        <w:tc>
          <w:tcPr>
            <w:tcW w:type="dxa" w:w="1440"/>
          </w:tcPr>
          <w:p>
            <w:r>
              <w:rPr>
                <w:rFonts w:ascii="Calibri" w:hAnsi="Calibri"/>
                <w:b/>
                <w:color w:val="E5484D"/>
                <w:sz w:val="22"/>
              </w:rPr>
              <w:t>-1.6%</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$2.454B</w:t>
            </w:r>
          </w:p>
        </w:tc>
        <w:tc>
          <w:tcPr>
            <w:tcW w:type="dxa" w:w="1440"/>
          </w:tcPr>
          <w:p>
            <w:r>
              <w:rPr>
                <w:rFonts w:ascii="Calibri" w:hAnsi="Calibri"/>
                <w:sz w:val="22"/>
              </w:rPr>
              <w:t>$2.441B</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CRH has beaten Adjusted EBITDA consensus in 7 of the last 8 quarters, with the sole miss being a narrow -0.6% in Q1 2025; revenue beats are less consistent (4 beats, 4 misses), with misses concentrated in seasonally weaker quarters. The EBITDA beat rate is the more reliable signal heading into Q2.</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tbl>
      <w:tblPr>
        <w:tblStyle w:val="TableGrid"/>
        <w:tblW w:type="auto" w:w="0"/>
        <w:tblLook w:firstColumn="1" w:firstRow="1" w:lastColumn="0" w:lastRow="0" w:noHBand="0" w:noVBand="1" w:val="04A0"/>
      </w:tblPr>
      <w:tblGrid>
        <w:gridCol w:w="8640"/>
      </w:tblGrid>
      <w:tr>
        <w:tc>
          <w:tcPr>
            <w:tcW w:type="dxa" w:w="8640"/>
          </w:tcPr>
          <w:p>
            <w:r>
              <w:rPr>
                <w:rFonts w:ascii="Calibri" w:hAnsi="Calibri"/>
                <w:b/>
                <w:sz w:val="22"/>
              </w:rPr>
              <w:t>Key Takeaway</w:t>
            </w:r>
          </w:p>
          <w:p>
            <w:r>
              <w:rPr>
                <w:rFonts w:ascii="Calibri" w:hAnsi="Calibri"/>
                <w:sz w:val="22"/>
              </w:rPr>
              <w:t>Guidance is unchanged since the April 30 Q1 call — no formal revision has been issued — but the Arcosa acquisition announcement on June 22 is a material scope change that will require management to address the EBITDA contribution, leverage, and buyback suspension at the Q2 print.</w:t>
            </w:r>
          </w:p>
        </w:tc>
      </w:tr>
    </w:tbl>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EBITDA</w:t>
            </w:r>
          </w:p>
        </w:tc>
        <w:tc>
          <w:tcPr>
            <w:tcW w:type="dxa" w:w="1728"/>
          </w:tcPr>
          <w:p>
            <w:r>
              <w:rPr>
                <w:rFonts w:ascii="Calibri" w:hAnsi="Calibri"/>
                <w:sz w:val="22"/>
              </w:rPr>
              <w:t>$8.1B – $8.5B</w:t>
            </w:r>
          </w:p>
        </w:tc>
        <w:tc>
          <w:tcPr>
            <w:tcW w:type="dxa" w:w="1728"/>
          </w:tcPr>
          <w:p>
            <w:r>
              <w:rPr>
                <w:rFonts w:ascii="Calibri" w:hAnsi="Calibri"/>
                <w:sz w:val="22"/>
              </w:rPr>
              <w:t>Unchanged</w:t>
            </w:r>
          </w:p>
        </w:tc>
        <w:tc>
          <w:tcPr>
            <w:tcW w:type="dxa" w:w="1728"/>
          </w:tcPr>
          <w:p>
            <w:r>
              <w:rPr>
                <w:rFonts w:ascii="Calibri" w:hAnsi="Calibri"/>
                <w:sz w:val="22"/>
              </w:rPr>
              <w:t>$8.30B</w:t>
            </w:r>
          </w:p>
        </w:tc>
        <w:tc>
          <w:tcPr>
            <w:tcW w:type="dxa" w:w="1728"/>
          </w:tcPr>
          <w:p>
            <w:r>
              <w:rPr>
                <w:rFonts w:ascii="Calibri" w:hAnsi="Calibri"/>
                <w:sz w:val="22"/>
              </w:rPr>
              <w:t>Reaffirmed at Q1 print; Arcosa scope not yet incorporated</w:t>
            </w:r>
          </w:p>
        </w:tc>
      </w:tr>
      <w:tr>
        <w:tc>
          <w:tcPr>
            <w:tcW w:type="dxa" w:w="1728"/>
          </w:tcPr>
          <w:p>
            <w:r>
              <w:rPr>
                <w:rFonts w:ascii="Calibri" w:hAnsi="Calibri"/>
                <w:sz w:val="22"/>
              </w:rPr>
              <w:t>FY 2026 Net Income</w:t>
            </w:r>
          </w:p>
        </w:tc>
        <w:tc>
          <w:tcPr>
            <w:tcW w:type="dxa" w:w="1728"/>
          </w:tcPr>
          <w:p>
            <w:r>
              <w:rPr>
                <w:rFonts w:ascii="Calibri" w:hAnsi="Calibri"/>
                <w:sz w:val="22"/>
              </w:rPr>
              <w:t>$3.9B – $4.1B</w:t>
            </w:r>
          </w:p>
        </w:tc>
        <w:tc>
          <w:tcPr>
            <w:tcW w:type="dxa" w:w="1728"/>
          </w:tcPr>
          <w:p>
            <w:r>
              <w:rPr>
                <w:rFonts w:ascii="Calibri" w:hAnsi="Calibri"/>
                <w:sz w:val="22"/>
              </w:rPr>
              <w:t>Unchanged</w:t>
            </w:r>
          </w:p>
        </w:tc>
        <w:tc>
          <w:tcPr>
            <w:tcW w:type="dxa" w:w="1728"/>
          </w:tcPr>
          <w:p>
            <w:r>
              <w:rPr>
                <w:rFonts w:ascii="Calibri" w:hAnsi="Calibri"/>
                <w:sz w:val="22"/>
              </w:rPr>
              <w:t>N/A — not tracked separately</w:t>
            </w:r>
          </w:p>
        </w:tc>
        <w:tc>
          <w:tcPr>
            <w:tcW w:type="dxa" w:w="1728"/>
          </w:tcPr>
          <w:p>
            <w:r>
              <w:rPr>
                <w:rFonts w:ascii="Calibri" w:hAnsi="Calibri"/>
                <w:sz w:val="22"/>
              </w:rPr>
              <w:t>Reaffirmed at Q1 print</w:t>
            </w:r>
          </w:p>
        </w:tc>
      </w:tr>
      <w:tr>
        <w:tc>
          <w:tcPr>
            <w:tcW w:type="dxa" w:w="1728"/>
          </w:tcPr>
          <w:p>
            <w:r>
              <w:rPr>
                <w:rFonts w:ascii="Calibri" w:hAnsi="Calibri"/>
                <w:sz w:val="22"/>
              </w:rPr>
              <w:t>FY 2026 Diluted Operating EPS</w:t>
            </w:r>
          </w:p>
        </w:tc>
        <w:tc>
          <w:tcPr>
            <w:tcW w:type="dxa" w:w="1728"/>
          </w:tcPr>
          <w:p>
            <w:r>
              <w:rPr>
                <w:rFonts w:ascii="Calibri" w:hAnsi="Calibri"/>
                <w:sz w:val="22"/>
              </w:rPr>
              <w:t>$5.60 – $6.05</w:t>
            </w:r>
          </w:p>
        </w:tc>
        <w:tc>
          <w:tcPr>
            <w:tcW w:type="dxa" w:w="1728"/>
          </w:tcPr>
          <w:p>
            <w:r>
              <w:rPr>
                <w:rFonts w:ascii="Calibri" w:hAnsi="Calibri"/>
                <w:sz w:val="22"/>
              </w:rPr>
              <w:t>Unchanged</w:t>
            </w:r>
          </w:p>
        </w:tc>
        <w:tc>
          <w:tcPr>
            <w:tcW w:type="dxa" w:w="1728"/>
          </w:tcPr>
          <w:p>
            <w:r>
              <w:rPr>
                <w:rFonts w:ascii="Calibri" w:hAnsi="Calibri"/>
                <w:sz w:val="22"/>
              </w:rPr>
              <w:t>$5.92</w:t>
            </w:r>
          </w:p>
        </w:tc>
        <w:tc>
          <w:tcPr>
            <w:tcW w:type="dxa" w:w="1728"/>
          </w:tcPr>
          <w:p>
            <w:r>
              <w:rPr>
                <w:rFonts w:ascii="Calibri" w:hAnsi="Calibri"/>
                <w:sz w:val="22"/>
              </w:rPr>
              <w:t>Consensus at midpoint; Arcosa dilution risk not yet in numbers</w:t>
            </w:r>
          </w:p>
        </w:tc>
      </w:tr>
      <w:tr>
        <w:tc>
          <w:tcPr>
            <w:tcW w:type="dxa" w:w="1728"/>
          </w:tcPr>
          <w:p>
            <w:r>
              <w:rPr>
                <w:rFonts w:ascii="Calibri" w:hAnsi="Calibri"/>
                <w:sz w:val="22"/>
              </w:rPr>
              <w:t>Aggregates Pricing (FY 2026)</w:t>
            </w:r>
          </w:p>
        </w:tc>
        <w:tc>
          <w:tcPr>
            <w:tcW w:type="dxa" w:w="1728"/>
          </w:tcPr>
          <w:p>
            <w:r>
              <w:rPr>
                <w:rFonts w:ascii="Calibri" w:hAnsi="Calibri"/>
                <w:sz w:val="22"/>
              </w:rPr>
              <w:t>Mid-single digit % YoY</w:t>
            </w:r>
          </w:p>
        </w:tc>
        <w:tc>
          <w:tcPr>
            <w:tcW w:type="dxa" w:w="1728"/>
          </w:tcPr>
          <w:p>
            <w:r>
              <w:rPr>
                <w:rFonts w:ascii="Calibri" w:hAnsi="Calibri"/>
                <w:sz w:val="22"/>
              </w:rPr>
              <w:t>Unchanged</w:t>
            </w:r>
          </w:p>
        </w:tc>
        <w:tc>
          <w:tcPr>
            <w:tcW w:type="dxa" w:w="1728"/>
          </w:tcPr>
          <w:p>
            <w:r>
              <w:rPr>
                <w:rFonts w:ascii="Calibri" w:hAnsi="Calibri"/>
                <w:sz w:val="22"/>
              </w:rPr>
              <w:t>+4.1% (FY consensus)</w:t>
            </w:r>
          </w:p>
        </w:tc>
        <w:tc>
          <w:tcPr>
            <w:tcW w:type="dxa" w:w="1728"/>
          </w:tcPr>
          <w:p>
            <w:r>
              <w:rPr>
                <w:rFonts w:ascii="Calibri" w:hAnsi="Calibri"/>
                <w:sz w:val="22"/>
              </w:rPr>
              <w:t>Consensus slightly below guidance midpoint; Q1 actual was -1% (seasonal)</w:t>
            </w:r>
          </w:p>
        </w:tc>
      </w:tr>
      <w:tr>
        <w:tc>
          <w:tcPr>
            <w:tcW w:type="dxa" w:w="1728"/>
          </w:tcPr>
          <w:p>
            <w:r>
              <w:rPr>
                <w:rFonts w:ascii="Calibri" w:hAnsi="Calibri"/>
                <w:sz w:val="22"/>
              </w:rPr>
              <w:t>Aggregates Volume (FY 2026)</w:t>
            </w:r>
          </w:p>
        </w:tc>
        <w:tc>
          <w:tcPr>
            <w:tcW w:type="dxa" w:w="1728"/>
          </w:tcPr>
          <w:p>
            <w:r>
              <w:rPr>
                <w:rFonts w:ascii="Calibri" w:hAnsi="Calibri"/>
                <w:sz w:val="22"/>
              </w:rPr>
              <w:t>Low-single digit % YoY</w:t>
            </w:r>
          </w:p>
        </w:tc>
        <w:tc>
          <w:tcPr>
            <w:tcW w:type="dxa" w:w="1728"/>
          </w:tcPr>
          <w:p>
            <w:r>
              <w:rPr>
                <w:rFonts w:ascii="Calibri" w:hAnsi="Calibri"/>
                <w:sz w:val="22"/>
              </w:rPr>
              <w:t>Unchanged</w:t>
            </w:r>
          </w:p>
        </w:tc>
        <w:tc>
          <w:tcPr>
            <w:tcW w:type="dxa" w:w="1728"/>
          </w:tcPr>
          <w:p>
            <w:r>
              <w:rPr>
                <w:rFonts w:ascii="Calibri" w:hAnsi="Calibri"/>
                <w:sz w:val="22"/>
              </w:rPr>
              <w:t>+3.6% (FY consensus)</w:t>
            </w:r>
          </w:p>
        </w:tc>
        <w:tc>
          <w:tcPr>
            <w:tcW w:type="dxa" w:w="1728"/>
          </w:tcPr>
          <w:p>
            <w:r>
              <w:rPr>
                <w:rFonts w:ascii="Calibri" w:hAnsi="Calibri"/>
                <w:sz w:val="22"/>
              </w:rPr>
              <w:t>Consensus in line with guidance; Q1 actual was +14% (easy comp)</w:t>
            </w:r>
          </w:p>
        </w:tc>
      </w:tr>
      <w:tr>
        <w:tc>
          <w:tcPr>
            <w:tcW w:type="dxa" w:w="1728"/>
          </w:tcPr>
          <w:p>
            <w:r>
              <w:rPr>
                <w:rFonts w:ascii="Calibri" w:hAnsi="Calibri"/>
                <w:sz w:val="22"/>
              </w:rPr>
              <w:t>M&amp;A Net EBITDA Contribution (FY 2026)</w:t>
            </w:r>
          </w:p>
        </w:tc>
        <w:tc>
          <w:tcPr>
            <w:tcW w:type="dxa" w:w="1728"/>
          </w:tcPr>
          <w:p>
            <w:r>
              <w:rPr>
                <w:rFonts w:ascii="Calibri" w:hAnsi="Calibri"/>
                <w:sz w:val="22"/>
              </w:rPr>
              <w:t>~$200M net incremental</w:t>
            </w:r>
          </w:p>
        </w:tc>
        <w:tc>
          <w:tcPr>
            <w:tcW w:type="dxa" w:w="1728"/>
          </w:tcPr>
          <w:p>
            <w:r>
              <w:rPr>
                <w:rFonts w:ascii="Calibri" w:hAnsi="Calibri"/>
                <w:sz w:val="22"/>
              </w:rPr>
              <w:t>Unchanged (pre-Arcosa)</w:t>
            </w:r>
          </w:p>
        </w:tc>
        <w:tc>
          <w:tcPr>
            <w:tcW w:type="dxa" w:w="1728"/>
          </w:tcPr>
          <w:p>
            <w:r>
              <w:rPr>
                <w:rFonts w:ascii="Calibri" w:hAnsi="Calibri"/>
                <w:sz w:val="22"/>
              </w:rPr>
              <w:t>N/A</w:t>
            </w:r>
          </w:p>
        </w:tc>
        <w:tc>
          <w:tcPr>
            <w:tcW w:type="dxa" w:w="1728"/>
          </w:tcPr>
          <w:p>
            <w:r>
              <w:rPr>
                <w:rFonts w:ascii="Calibri" w:hAnsi="Calibri"/>
                <w:sz w:val="22"/>
              </w:rPr>
              <w:t>Arcosa expected to close post-Q2; not in FY 2026 guidance</w:t>
            </w:r>
          </w:p>
        </w:tc>
      </w:tr>
      <w:tr>
        <w:tc>
          <w:tcPr>
            <w:tcW w:type="dxa" w:w="1728"/>
          </w:tcPr>
          <w:p>
            <w:r>
              <w:rPr>
                <w:rFonts w:ascii="Calibri" w:hAnsi="Calibri"/>
                <w:sz w:val="22"/>
              </w:rPr>
              <w:t>Share Buyback</w:t>
            </w:r>
          </w:p>
        </w:tc>
        <w:tc>
          <w:tcPr>
            <w:tcW w:type="dxa" w:w="1728"/>
          </w:tcPr>
          <w:p>
            <w:r>
              <w:rPr>
                <w:rFonts w:ascii="Calibri" w:hAnsi="Calibri"/>
                <w:sz w:val="22"/>
              </w:rPr>
              <w:t>$300M tranche (by Jul 28, 2026)</w:t>
            </w:r>
          </w:p>
        </w:tc>
        <w:tc>
          <w:tcPr>
            <w:tcW w:type="dxa" w:w="1728"/>
          </w:tcPr>
          <w:p>
            <w:r>
              <w:rPr>
                <w:rFonts w:ascii="Calibri" w:hAnsi="Calibri"/>
                <w:sz w:val="22"/>
              </w:rPr>
              <w:t>↓ Suspended post-Arcosa</w:t>
            </w:r>
          </w:p>
        </w:tc>
        <w:tc>
          <w:tcPr>
            <w:tcW w:type="dxa" w:w="1728"/>
          </w:tcPr>
          <w:p>
            <w:r>
              <w:rPr>
                <w:rFonts w:ascii="Calibri" w:hAnsi="Calibri"/>
                <w:sz w:val="22"/>
              </w:rPr>
              <w:t>N/A</w:t>
            </w:r>
          </w:p>
        </w:tc>
        <w:tc>
          <w:tcPr>
            <w:tcW w:type="dxa" w:w="1728"/>
          </w:tcPr>
          <w:p>
            <w:r>
              <w:rPr>
                <w:rFonts w:ascii="Calibri" w:hAnsi="Calibri"/>
                <w:sz w:val="22"/>
              </w:rPr>
              <w:t>↓ Paused per Jun 22 8-K; no new tranche expected until Arcosa closes</w:t>
            </w:r>
          </w:p>
        </w:tc>
      </w:tr>
    </w:tbl>
    <w:p>
      <w:r>
        <w:rPr>
          <w:rFonts w:ascii="Calibri" w:hAnsi="Calibri"/>
          <w:i/>
          <w:color w:val="525866"/>
          <w:sz w:val="22"/>
        </w:rPr>
        <w:t>Source: CRH Q1 2026 Earnings Call Transcript (April 30, 2026); CRH 8-K filed June 22, 2026 (Arcosa Merger Agreement); CRH 8-K filed July 17, 2026 (Term Loan Facility).</w:t>
      </w:r>
    </w:p>
    <w:p>
      <w:r>
        <w:br w:type="page"/>
      </w:r>
    </w:p>
    <w:p>
      <w:pPr>
        <w:pStyle w:val="Heading1"/>
        <w:pBdr>
          <w:bottom w:val="single" w:sz="4" w:space="1" w:color="FB9120"/>
        </w:pBdr>
      </w:pPr>
      <w:r>
        <w:rPr>
          <w:rFonts w:ascii="Calibri" w:hAnsi="Calibri"/>
          <w:b/>
          <w:color w:val="3B4259"/>
          <w:sz w:val="40"/>
        </w:rPr>
        <w:t>4. Guidance vs. Estimate Revision Tracker</w:t>
      </w:r>
    </w:p>
    <w:tbl>
      <w:tblPr>
        <w:tblStyle w:val="TableGrid"/>
        <w:tblW w:type="auto" w:w="0"/>
        <w:tblLook w:firstColumn="1" w:firstRow="1" w:lastColumn="0" w:lastRow="0" w:noHBand="0" w:noVBand="1" w:val="04A0"/>
      </w:tblPr>
      <w:tblGrid>
        <w:gridCol w:w="8640"/>
      </w:tblGrid>
      <w:tr>
        <w:tc>
          <w:tcPr>
            <w:tcW w:type="dxa" w:w="8640"/>
          </w:tcPr>
          <w:p>
            <w:r>
              <w:rPr>
                <w:rFonts w:ascii="Calibri" w:hAnsi="Calibri"/>
                <w:b/>
                <w:sz w:val="22"/>
              </w:rPr>
              <w:t>Key Takeaway</w:t>
            </w:r>
          </w:p>
          <w:p>
            <w:r>
              <w:rPr>
                <w:rFonts w:ascii="Calibri" w:hAnsi="Calibri"/>
                <w:sz w:val="22"/>
              </w:rPr>
              <w:t>Estimates have drifted modestly lower since Q1 earnings — Q2 EBITDA consensus is down ~1.2% from the post-Q1 baseline and FY EBITDA is essentially flat — suggesting the market has absorbed macro uncertainty without a meaningful de-rating of the underlying business. The gap between consensus and guidance midpoint is narrow, leaving little cushion if Q2 disappoints.</w:t>
            </w:r>
          </w:p>
        </w:tc>
      </w:tr>
    </w:tbl>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Total Revenue (Q2 2026)</w:t>
            </w:r>
          </w:p>
        </w:tc>
        <w:tc>
          <w:tcPr>
            <w:tcW w:type="dxa" w:w="1080"/>
          </w:tcPr>
          <w:p>
            <w:r>
              <w:rPr>
                <w:rFonts w:ascii="Calibri" w:hAnsi="Calibri"/>
                <w:sz w:val="22"/>
              </w:rPr>
              <w:t>$10.709B</w:t>
            </w:r>
          </w:p>
        </w:tc>
        <w:tc>
          <w:tcPr>
            <w:tcW w:type="dxa" w:w="1080"/>
          </w:tcPr>
          <w:p>
            <w:r>
              <w:rPr>
                <w:rFonts w:ascii="Calibri" w:hAnsi="Calibri"/>
                <w:sz w:val="22"/>
              </w:rPr>
              <w:t>$10.713B</w:t>
            </w:r>
          </w:p>
        </w:tc>
        <w:tc>
          <w:tcPr>
            <w:tcW w:type="dxa" w:w="1080"/>
          </w:tcPr>
          <w:p>
            <w:r>
              <w:rPr>
                <w:rFonts w:ascii="Calibri" w:hAnsi="Calibri"/>
                <w:sz w:val="22"/>
              </w:rPr>
              <w:t>+0.0%</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(Q2 2026)</w:t>
            </w:r>
          </w:p>
        </w:tc>
        <w:tc>
          <w:tcPr>
            <w:tcW w:type="dxa" w:w="1080"/>
          </w:tcPr>
          <w:p>
            <w:r>
              <w:rPr>
                <w:rFonts w:ascii="Calibri" w:hAnsi="Calibri"/>
                <w:sz w:val="22"/>
              </w:rPr>
              <w:t>$2.627B</w:t>
            </w:r>
          </w:p>
        </w:tc>
        <w:tc>
          <w:tcPr>
            <w:tcW w:type="dxa" w:w="1080"/>
          </w:tcPr>
          <w:p>
            <w:r>
              <w:rPr>
                <w:rFonts w:ascii="Calibri" w:hAnsi="Calibri"/>
                <w:sz w:val="22"/>
              </w:rPr>
              <w:t>$2.597B</w:t>
            </w:r>
          </w:p>
        </w:tc>
        <w:tc>
          <w:tcPr>
            <w:tcW w:type="dxa" w:w="1080"/>
          </w:tcPr>
          <w:p>
            <w:r>
              <w:rPr>
                <w:rFonts w:ascii="Calibri" w:hAnsi="Calibri"/>
                <w:b/>
                <w:color w:val="E5484D"/>
                <w:sz w:val="22"/>
              </w:rPr>
              <w:t>-1.2%</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(Q2 2026)</w:t>
            </w:r>
          </w:p>
        </w:tc>
        <w:tc>
          <w:tcPr>
            <w:tcW w:type="dxa" w:w="1080"/>
          </w:tcPr>
          <w:p>
            <w:r>
              <w:rPr>
                <w:rFonts w:ascii="Calibri" w:hAnsi="Calibri"/>
                <w:sz w:val="22"/>
              </w:rPr>
              <w:t>$2.063</w:t>
            </w:r>
          </w:p>
        </w:tc>
        <w:tc>
          <w:tcPr>
            <w:tcW w:type="dxa" w:w="1080"/>
          </w:tcPr>
          <w:p>
            <w:r>
              <w:rPr>
                <w:rFonts w:ascii="Calibri" w:hAnsi="Calibri"/>
                <w:sz w:val="22"/>
              </w:rPr>
              <w:t>$2.059</w:t>
            </w:r>
          </w:p>
        </w:tc>
        <w:tc>
          <w:tcPr>
            <w:tcW w:type="dxa" w:w="1080"/>
          </w:tcPr>
          <w:p>
            <w:r>
              <w:rPr>
                <w:rFonts w:ascii="Calibri" w:hAnsi="Calibri"/>
                <w:sz w:val="22"/>
              </w:rPr>
              <w:t>-0.2%</w:t>
            </w:r>
          </w:p>
        </w:tc>
        <w:tc>
          <w:tcPr>
            <w:tcW w:type="dxa" w:w="1080"/>
          </w:tcPr>
          <w:p>
            <w:r>
              <w:rPr>
                <w:rFonts w:ascii="Calibri" w:hAnsi="Calibri"/>
                <w:sz w:val="22"/>
              </w:rPr>
              <w:t>N/A (no Q2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$39.614B</w:t>
            </w:r>
          </w:p>
        </w:tc>
        <w:tc>
          <w:tcPr>
            <w:tcW w:type="dxa" w:w="1080"/>
          </w:tcPr>
          <w:p>
            <w:r>
              <w:rPr>
                <w:rFonts w:ascii="Calibri" w:hAnsi="Calibri"/>
                <w:sz w:val="22"/>
              </w:rPr>
              <w:t>$39.626B</w:t>
            </w:r>
          </w:p>
        </w:tc>
        <w:tc>
          <w:tcPr>
            <w:tcW w:type="dxa" w:w="1080"/>
          </w:tcPr>
          <w:p>
            <w:r>
              <w:rPr>
                <w:rFonts w:ascii="Calibri" w:hAnsi="Calibri"/>
                <w:sz w:val="22"/>
              </w:rPr>
              <w:t>+0.0%</w:t>
            </w:r>
          </w:p>
        </w:tc>
        <w:tc>
          <w:tcPr>
            <w:tcW w:type="dxa" w:w="1080"/>
          </w:tcPr>
          <w:p>
            <w:r>
              <w:rPr>
                <w:rFonts w:ascii="Calibri" w:hAnsi="Calibri"/>
                <w:sz w:val="22"/>
              </w:rPr>
              <w:t>N/A (no FY rev.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(FY 2026)</w:t>
            </w:r>
          </w:p>
        </w:tc>
        <w:tc>
          <w:tcPr>
            <w:tcW w:type="dxa" w:w="1080"/>
          </w:tcPr>
          <w:p>
            <w:r>
              <w:rPr>
                <w:rFonts w:ascii="Calibri" w:hAnsi="Calibri"/>
                <w:sz w:val="22"/>
              </w:rPr>
              <w:t>$8.308B</w:t>
            </w:r>
          </w:p>
        </w:tc>
        <w:tc>
          <w:tcPr>
            <w:tcW w:type="dxa" w:w="1080"/>
          </w:tcPr>
          <w:p>
            <w:r>
              <w:rPr>
                <w:rFonts w:ascii="Calibri" w:hAnsi="Calibri"/>
                <w:sz w:val="22"/>
              </w:rPr>
              <w:t>$8.302B</w:t>
            </w:r>
          </w:p>
        </w:tc>
        <w:tc>
          <w:tcPr>
            <w:tcW w:type="dxa" w:w="1080"/>
          </w:tcPr>
          <w:p>
            <w:r>
              <w:rPr>
                <w:rFonts w:ascii="Calibri" w:hAnsi="Calibri"/>
                <w:sz w:val="22"/>
              </w:rPr>
              <w:t>-0.1%</w:t>
            </w:r>
          </w:p>
        </w:tc>
        <w:tc>
          <w:tcPr>
            <w:tcW w:type="dxa" w:w="1080"/>
          </w:tcPr>
          <w:p>
            <w:r>
              <w:rPr>
                <w:rFonts w:ascii="Calibri" w:hAnsi="Calibri"/>
                <w:sz w:val="22"/>
              </w:rPr>
              <w:t>$8.1B – $8.5B</w:t>
            </w:r>
          </w:p>
        </w:tc>
        <w:tc>
          <w:tcPr>
            <w:tcW w:type="dxa" w:w="1080"/>
          </w:tcPr>
          <w:p>
            <w:r>
              <w:rPr>
                <w:rFonts w:ascii="Calibri" w:hAnsi="Calibri"/>
                <w:sz w:val="22"/>
              </w:rPr>
              <w:t>$8.1B – $8.5B (unchanged)</w:t>
            </w:r>
          </w:p>
        </w:tc>
        <w:tc>
          <w:tcPr>
            <w:tcW w:type="dxa" w:w="1080"/>
          </w:tcPr>
          <w:p>
            <w:r>
              <w:rPr>
                <w:rFonts w:ascii="Calibri" w:hAnsi="Calibri"/>
                <w:sz w:val="22"/>
              </w:rPr>
              <w:t>0%</w:t>
            </w:r>
          </w:p>
        </w:tc>
        <w:tc>
          <w:tcPr>
            <w:tcW w:type="dxa" w:w="1080"/>
          </w:tcPr>
          <w:p>
            <w:r>
              <w:rPr>
                <w:rFonts w:ascii="Calibri" w:hAnsi="Calibri"/>
                <w:sz w:val="22"/>
              </w:rPr>
              <w:t>-0.3% vs. $8.3B midpoint</w:t>
            </w:r>
          </w:p>
        </w:tc>
      </w:tr>
      <w:tr>
        <w:tc>
          <w:tcPr>
            <w:tcW w:type="dxa" w:w="1080"/>
          </w:tcPr>
          <w:p>
            <w:r>
              <w:rPr>
                <w:rFonts w:ascii="Calibri" w:hAnsi="Calibri"/>
                <w:sz w:val="22"/>
              </w:rPr>
              <w:t>Operating EPS (FY 2026)</w:t>
            </w:r>
          </w:p>
        </w:tc>
        <w:tc>
          <w:tcPr>
            <w:tcW w:type="dxa" w:w="1080"/>
          </w:tcPr>
          <w:p>
            <w:r>
              <w:rPr>
                <w:rFonts w:ascii="Calibri" w:hAnsi="Calibri"/>
                <w:sz w:val="22"/>
              </w:rPr>
              <w:t>$5.918</w:t>
            </w:r>
          </w:p>
        </w:tc>
        <w:tc>
          <w:tcPr>
            <w:tcW w:type="dxa" w:w="1080"/>
          </w:tcPr>
          <w:p>
            <w:r>
              <w:rPr>
                <w:rFonts w:ascii="Calibri" w:hAnsi="Calibri"/>
                <w:sz w:val="22"/>
              </w:rPr>
              <w:t>$5.925</w:t>
            </w:r>
          </w:p>
        </w:tc>
        <w:tc>
          <w:tcPr>
            <w:tcW w:type="dxa" w:w="1080"/>
          </w:tcPr>
          <w:p>
            <w:r>
              <w:rPr>
                <w:rFonts w:ascii="Calibri" w:hAnsi="Calibri"/>
                <w:sz w:val="22"/>
              </w:rPr>
              <w:t>+0.1%</w:t>
            </w:r>
          </w:p>
        </w:tc>
        <w:tc>
          <w:tcPr>
            <w:tcW w:type="dxa" w:w="1080"/>
          </w:tcPr>
          <w:p>
            <w:r>
              <w:rPr>
                <w:rFonts w:ascii="Calibri" w:hAnsi="Calibri"/>
                <w:sz w:val="22"/>
              </w:rPr>
              <w:t>$5.60 – $6.05</w:t>
            </w:r>
          </w:p>
        </w:tc>
        <w:tc>
          <w:tcPr>
            <w:tcW w:type="dxa" w:w="1080"/>
          </w:tcPr>
          <w:p>
            <w:r>
              <w:rPr>
                <w:rFonts w:ascii="Calibri" w:hAnsi="Calibri"/>
                <w:sz w:val="22"/>
              </w:rPr>
              <w:t>$5.60 – $6.05 (unchanged)</w:t>
            </w:r>
          </w:p>
        </w:tc>
        <w:tc>
          <w:tcPr>
            <w:tcW w:type="dxa" w:w="1080"/>
          </w:tcPr>
          <w:p>
            <w:r>
              <w:rPr>
                <w:rFonts w:ascii="Calibri" w:hAnsi="Calibri"/>
                <w:sz w:val="22"/>
              </w:rPr>
              <w:t>0%</w:t>
            </w:r>
          </w:p>
        </w:tc>
        <w:tc>
          <w:tcPr>
            <w:tcW w:type="dxa" w:w="1080"/>
          </w:tcPr>
          <w:p>
            <w:r>
              <w:rPr>
                <w:rFonts w:ascii="Calibri" w:hAnsi="Calibri"/>
                <w:sz w:val="22"/>
              </w:rPr>
              <w:t>+0.4% vs. $5.825 midpoint</w:t>
            </w:r>
          </w:p>
        </w:tc>
      </w:tr>
    </w:tbl>
    <w:p>
      <w:r>
        <w:rPr>
          <w:rFonts w:ascii="Calibri" w:hAnsi="Calibri"/>
          <w:color w:val="525866"/>
          <w:sz w:val="22"/>
        </w:rPr>
        <w:t>Estimates have been remarkably stable since Q1 earnings, with Q2 EBITDA the only meaningful mover (-1.2%), likely reflecting weather-related volume uncertainty flagged by peers (Vulcan, Cemex). FY 2026 consensus sits essentially at the guidance midpoint, meaning any guidance raise would be a positive catalyst while a hold would be neutral.</w:t>
      </w:r>
    </w:p>
    <w:p>
      <w:r>
        <w:rPr>
          <w:rFonts w:ascii="Calibri" w:hAnsi="Calibri"/>
          <w:i/>
          <w:color w:val="525866"/>
          <w:sz w:val="22"/>
        </w:rPr>
        <w:t>Source: Visible Alpha Consensus and Actuals Data (as-of date: May 7, 2026 for baseline; latest as of July 29, 2026 for current).</w:t>
      </w:r>
    </w:p>
    <w:p>
      <w:r>
        <w:br w:type="page"/>
      </w:r>
    </w:p>
    <w:p>
      <w:pPr>
        <w:pStyle w:val="Heading1"/>
        <w:pBdr>
          <w:bottom w:val="single" w:sz="4" w:space="1" w:color="FB9120"/>
        </w:pBdr>
      </w:pPr>
      <w:r>
        <w:rPr>
          <w:rFonts w:ascii="Calibri" w:hAnsi="Calibri"/>
          <w:b/>
          <w:color w:val="3B4259"/>
          <w:sz w:val="40"/>
        </w:rPr>
        <w:t>5. Stock Performance</w:t>
      </w:r>
    </w:p>
    <w:tbl>
      <w:tblPr>
        <w:tblStyle w:val="TableGrid"/>
        <w:tblW w:type="auto" w:w="0"/>
        <w:tblLook w:firstColumn="1" w:firstRow="1" w:lastColumn="0" w:lastRow="0" w:noHBand="0" w:noVBand="1" w:val="04A0"/>
      </w:tblPr>
      <w:tblGrid>
        <w:gridCol w:w="8640"/>
      </w:tblGrid>
      <w:tr>
        <w:tc>
          <w:tcPr>
            <w:tcW w:type="dxa" w:w="8640"/>
          </w:tcPr>
          <w:p>
            <w:r>
              <w:rPr>
                <w:rFonts w:ascii="Calibri" w:hAnsi="Calibri"/>
                <w:b/>
                <w:sz w:val="22"/>
              </w:rPr>
              <w:t>Key Takeaway</w:t>
            </w:r>
          </w:p>
          <w:p>
            <w:r>
              <w:rPr>
                <w:rFonts w:ascii="Calibri" w:hAnsi="Calibri"/>
                <w:sz w:val="22"/>
              </w:rPr>
              <w:t>CRH has underperformed materially since Q1 earnings — down ~15.8% vs. XLB (Materials ETF) down ~0.5% and S&amp;P 500 roughly flat (+1.5%) — driven almost entirely by multiple compression (EV/EBITDA from ~11.7x to ~9.9x over six months) rather than estimate cuts, suggesting the Arcosa deal announcement and macro uncertainty have weighed on sentiment rather than fundamentals.</w:t>
            </w:r>
          </w:p>
        </w:tc>
      </w:tr>
    </w:tbl>
    <w:p>
      <w:r>
        <w:rPr>
          <w:rFonts w:ascii="Calibri" w:hAnsi="Calibri"/>
          <w:color w:val="525866"/>
          <w:sz w:val="22"/>
        </w:rPr>
        <w:t xml:space="preserve">Since the Q1 2026 earnings date (April 30, 2026), CRH has declined from $118.42 to $99.71 (as of July 29, 2026), a loss of approximately </w:t>
      </w:r>
      <w:r>
        <w:rPr>
          <w:rFonts w:ascii="Calibri" w:hAnsi="Calibri"/>
          <w:b/>
          <w:color w:val="525866"/>
          <w:sz w:val="22"/>
        </w:rPr>
        <w:t>-15.8%</w:t>
      </w:r>
      <w:r>
        <w:rPr>
          <w:rFonts w:ascii="Calibri" w:hAnsi="Calibri"/>
          <w:color w:val="525866"/>
          <w:sz w:val="22"/>
        </w:rPr>
        <w:t xml:space="preserve">. Over the same period, the Materials sector ETF (XLB) declined approximately </w:t>
      </w:r>
      <w:r>
        <w:rPr>
          <w:rFonts w:ascii="Calibri" w:hAnsi="Calibri"/>
          <w:b/>
          <w:color w:val="525866"/>
          <w:sz w:val="22"/>
        </w:rPr>
        <w:t>-0.5%</w:t>
      </w:r>
      <w:r>
        <w:rPr>
          <w:rFonts w:ascii="Calibri" w:hAnsi="Calibri"/>
          <w:color w:val="525866"/>
          <w:sz w:val="22"/>
        </w:rPr>
        <w:t xml:space="preserve"> (from $51.47 to $51.74) and the S&amp;P 500 gained approximately </w:t>
      </w:r>
      <w:r>
        <w:rPr>
          <w:rFonts w:ascii="Calibri" w:hAnsi="Calibri"/>
          <w:b/>
          <w:color w:val="525866"/>
          <w:sz w:val="22"/>
        </w:rPr>
        <w:t>+1.5%</w:t>
      </w:r>
      <w:r>
        <w:rPr>
          <w:rFonts w:ascii="Calibri" w:hAnsi="Calibri"/>
          <w:color w:val="525866"/>
          <w:sz w:val="22"/>
        </w:rPr>
        <w:t xml:space="preserve"> (from $718.66 to $729.46). The underperformance is concentrated in two episodes: (1) a sharp sell-off in mid-May as the stock fell from ~$113 to ~$98 on no specific catalyst, likely reflecting broader macro de-risking; and (2) a second leg lower in late June/early July following the Arcosa acquisition announcement on June 22, which raised leverage concerns and triggered the suspension of the share buyback program. The stock has partially recovered from its July lows (~$98) but remains well below the post-Q1 level.</w:t>
      </w:r>
    </w:p>
    <w:p>
      <w:r>
        <w:rPr>
          <w:rFonts w:ascii="Calibri" w:hAnsi="Calibri"/>
          <w:b/>
          <w:color w:val="525866"/>
          <w:sz w:val="22"/>
        </w:rPr>
        <w:t xml:space="preserve">Sector ETF used: </w:t>
      </w:r>
      <w:r>
        <w:rPr>
          <w:rFonts w:ascii="Calibri" w:hAnsi="Calibri"/>
          <w:color w:val="525866"/>
          <w:sz w:val="22"/>
        </w:rPr>
        <w:t>XLB (Materials Select Sector SPDR Fund)</w:t>
      </w:r>
      <w:r>
        <w:rPr>
          <w:rFonts w:ascii="Calibri" w:hAnsi="Calibri"/>
          <w:color w:val="525866"/>
          <w:sz w:val="22"/>
        </w:rPr>
        <w:t xml:space="preserve"> — appropriate for CRH given its classification as a building materials / construction materials company within the Materials sector.</w:t>
      </w:r>
    </w:p>
    <w:p>
      <w:r>
        <w:rPr>
          <w:rFonts w:ascii="Calibri" w:hAnsi="Calibri"/>
          <w:b/>
          <w:color w:val="525866"/>
          <w:sz w:val="22"/>
        </w:rPr>
        <w:t>Key events marked on chart:</w:t>
      </w:r>
    </w:p>
    <w:p>
      <w:pPr>
        <w:pStyle w:val="ListBullet"/>
        <w:ind w:left="360" w:hanging="360"/>
      </w:pPr>
      <w:r>
        <w:rPr>
          <w:rFonts w:ascii="Calibri" w:hAnsi="Calibri"/>
          <w:b/>
          <w:color w:val="525866"/>
          <w:sz w:val="22"/>
        </w:rPr>
        <w:t xml:space="preserve">May 15, 2026: </w:t>
      </w:r>
      <w:r>
        <w:rPr>
          <w:rFonts w:ascii="Calibri" w:hAnsi="Calibri"/>
          <w:color w:val="525866"/>
          <w:sz w:val="22"/>
        </w:rPr>
        <w:t>CFO transition announced (Nancy Buese replaced by Aylwyn Bryan, effective May 12)</w:t>
      </w:r>
    </w:p>
    <w:p>
      <w:pPr>
        <w:pStyle w:val="ListBullet"/>
        <w:ind w:left="360" w:hanging="360"/>
      </w:pPr>
      <w:r>
        <w:rPr>
          <w:rFonts w:ascii="Calibri" w:hAnsi="Calibri"/>
          <w:b/>
          <w:color w:val="525866"/>
          <w:sz w:val="22"/>
        </w:rPr>
        <w:t xml:space="preserve">June 22, 2026: </w:t>
      </w:r>
      <w:r>
        <w:rPr>
          <w:rFonts w:ascii="Calibri" w:hAnsi="Calibri"/>
          <w:color w:val="525866"/>
          <w:sz w:val="22"/>
        </w:rPr>
        <w:t>Arcosa acquisition announced ($150/share, ~$11.5B total; $5.75B bridge facility; buyback suspended)</w:t>
      </w:r>
    </w:p>
    <w:p>
      <w:pPr>
        <w:pStyle w:val="ListBullet"/>
        <w:ind w:left="360" w:hanging="360"/>
      </w:pPr>
      <w:r>
        <w:rPr>
          <w:rFonts w:ascii="Calibri" w:hAnsi="Calibri"/>
          <w:b/>
          <w:color w:val="525866"/>
          <w:sz w:val="22"/>
        </w:rPr>
        <w:t xml:space="preserve">July 17, 2026: </w:t>
      </w:r>
      <w:r>
        <w:rPr>
          <w:rFonts w:ascii="Calibri" w:hAnsi="Calibri"/>
          <w:color w:val="525866"/>
          <w:sz w:val="22"/>
        </w:rPr>
        <w:t>CRH secures $2.5B term loan, reducing bridge facility to $3.25B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CRH Price</w:t>
            </w:r>
          </w:p>
        </w:tc>
        <w:tc>
          <w:tcPr>
            <w:tcW w:type="dxa" w:w="1728"/>
            <w:shd w:val="clear" w:color="auto" w:fill="3B4259"/>
          </w:tcPr>
          <w:p>
            <w:r>
              <w:rPr>
                <w:rFonts w:ascii="Calibri" w:hAnsi="Calibri"/>
                <w:b/>
                <w:color w:val="FFFFFF"/>
                <w:sz w:val="22"/>
              </w:rPr>
              <w:t>CRH Indexed (Base=100)</w:t>
            </w:r>
          </w:p>
        </w:tc>
        <w:tc>
          <w:tcPr>
            <w:tcW w:type="dxa" w:w="1728"/>
            <w:shd w:val="clear" w:color="auto" w:fill="3B4259"/>
          </w:tcPr>
          <w:p>
            <w:r>
              <w:rPr>
                <w:rFonts w:ascii="Calibri" w:hAnsi="Calibri"/>
                <w:b/>
                <w:color w:val="FFFFFF"/>
                <w:sz w:val="22"/>
              </w:rPr>
              <w:t>XLB Indexed (Base=100)</w:t>
            </w:r>
          </w:p>
        </w:tc>
        <w:tc>
          <w:tcPr>
            <w:tcW w:type="dxa" w:w="1728"/>
            <w:shd w:val="clear" w:color="auto" w:fill="3B4259"/>
          </w:tcPr>
          <w:p>
            <w:r>
              <w:rPr>
                <w:rFonts w:ascii="Calibri" w:hAnsi="Calibri"/>
                <w:b/>
                <w:color w:val="FFFFFF"/>
                <w:sz w:val="22"/>
              </w:rPr>
              <w:t>SPY Indexed (Base=100)</w:t>
            </w:r>
          </w:p>
        </w:tc>
      </w:tr>
      <w:tr>
        <w:tc>
          <w:tcPr>
            <w:tcW w:type="dxa" w:w="1728"/>
          </w:tcPr>
          <w:p>
            <w:r>
              <w:rPr>
                <w:rFonts w:ascii="Calibri" w:hAnsi="Calibri"/>
                <w:sz w:val="22"/>
              </w:rPr>
              <w:t>Apr 30, 2026 (Q1 Earnings)</w:t>
            </w:r>
          </w:p>
        </w:tc>
        <w:tc>
          <w:tcPr>
            <w:tcW w:type="dxa" w:w="1728"/>
          </w:tcPr>
          <w:p>
            <w:r>
              <w:rPr>
                <w:rFonts w:ascii="Calibri" w:hAnsi="Calibri"/>
                <w:sz w:val="22"/>
              </w:rPr>
              <w:t>$118.42</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15, 2026 (CFO Change)</w:t>
            </w:r>
          </w:p>
        </w:tc>
        <w:tc>
          <w:tcPr>
            <w:tcW w:type="dxa" w:w="1728"/>
          </w:tcPr>
          <w:p>
            <w:r>
              <w:rPr>
                <w:rFonts w:ascii="Calibri" w:hAnsi="Calibri"/>
                <w:sz w:val="22"/>
              </w:rPr>
              <w:t>$103.21</w:t>
            </w:r>
          </w:p>
        </w:tc>
        <w:tc>
          <w:tcPr>
            <w:tcW w:type="dxa" w:w="1728"/>
          </w:tcPr>
          <w:p>
            <w:r>
              <w:rPr>
                <w:rFonts w:ascii="Calibri" w:hAnsi="Calibri"/>
                <w:sz w:val="22"/>
              </w:rPr>
              <w:t>87.2</w:t>
            </w:r>
          </w:p>
        </w:tc>
        <w:tc>
          <w:tcPr>
            <w:tcW w:type="dxa" w:w="1728"/>
          </w:tcPr>
          <w:p>
            <w:r>
              <w:rPr>
                <w:rFonts w:ascii="Calibri" w:hAnsi="Calibri"/>
                <w:sz w:val="22"/>
              </w:rPr>
              <w:t>97.7</w:t>
            </w:r>
          </w:p>
        </w:tc>
        <w:tc>
          <w:tcPr>
            <w:tcW w:type="dxa" w:w="1728"/>
          </w:tcPr>
          <w:p>
            <w:r>
              <w:rPr>
                <w:rFonts w:ascii="Calibri" w:hAnsi="Calibri"/>
                <w:sz w:val="22"/>
              </w:rPr>
              <w:t>102.9</w:t>
            </w:r>
          </w:p>
        </w:tc>
      </w:tr>
      <w:tr>
        <w:tc>
          <w:tcPr>
            <w:tcW w:type="dxa" w:w="1728"/>
          </w:tcPr>
          <w:p>
            <w:r>
              <w:rPr>
                <w:rFonts w:ascii="Calibri" w:hAnsi="Calibri"/>
                <w:sz w:val="22"/>
              </w:rPr>
              <w:t>Jun 22, 2026 (Arcosa Deal)</w:t>
            </w:r>
          </w:p>
        </w:tc>
        <w:tc>
          <w:tcPr>
            <w:tcW w:type="dxa" w:w="1728"/>
          </w:tcPr>
          <w:p>
            <w:r>
              <w:rPr>
                <w:rFonts w:ascii="Calibri" w:hAnsi="Calibri"/>
                <w:sz w:val="22"/>
              </w:rPr>
              <w:t>$111.25</w:t>
            </w:r>
          </w:p>
        </w:tc>
        <w:tc>
          <w:tcPr>
            <w:tcW w:type="dxa" w:w="1728"/>
          </w:tcPr>
          <w:p>
            <w:r>
              <w:rPr>
                <w:rFonts w:ascii="Calibri" w:hAnsi="Calibri"/>
                <w:sz w:val="22"/>
              </w:rPr>
              <w:t>93.9</w:t>
            </w:r>
          </w:p>
        </w:tc>
        <w:tc>
          <w:tcPr>
            <w:tcW w:type="dxa" w:w="1728"/>
          </w:tcPr>
          <w:p>
            <w:r>
              <w:rPr>
                <w:rFonts w:ascii="Calibri" w:hAnsi="Calibri"/>
                <w:sz w:val="22"/>
              </w:rPr>
              <w:t>100.3</w:t>
            </w:r>
          </w:p>
        </w:tc>
        <w:tc>
          <w:tcPr>
            <w:tcW w:type="dxa" w:w="1728"/>
          </w:tcPr>
          <w:p>
            <w:r>
              <w:rPr>
                <w:rFonts w:ascii="Calibri" w:hAnsi="Calibri"/>
                <w:sz w:val="22"/>
              </w:rPr>
              <w:t>103.6</w:t>
            </w:r>
          </w:p>
        </w:tc>
      </w:tr>
      <w:tr>
        <w:tc>
          <w:tcPr>
            <w:tcW w:type="dxa" w:w="1728"/>
          </w:tcPr>
          <w:p>
            <w:r>
              <w:rPr>
                <w:rFonts w:ascii="Calibri" w:hAnsi="Calibri"/>
                <w:sz w:val="22"/>
              </w:rPr>
              <w:t>Jul 17, 2026 (Term Loan)</w:t>
            </w:r>
          </w:p>
        </w:tc>
        <w:tc>
          <w:tcPr>
            <w:tcW w:type="dxa" w:w="1728"/>
          </w:tcPr>
          <w:p>
            <w:r>
              <w:rPr>
                <w:rFonts w:ascii="Calibri" w:hAnsi="Calibri"/>
                <w:sz w:val="22"/>
              </w:rPr>
              <w:t>$102.92</w:t>
            </w:r>
          </w:p>
        </w:tc>
        <w:tc>
          <w:tcPr>
            <w:tcW w:type="dxa" w:w="1728"/>
          </w:tcPr>
          <w:p>
            <w:r>
              <w:rPr>
                <w:rFonts w:ascii="Calibri" w:hAnsi="Calibri"/>
                <w:sz w:val="22"/>
              </w:rPr>
              <w:t>86.9</w:t>
            </w:r>
          </w:p>
        </w:tc>
        <w:tc>
          <w:tcPr>
            <w:tcW w:type="dxa" w:w="1728"/>
          </w:tcPr>
          <w:p>
            <w:r>
              <w:rPr>
                <w:rFonts w:ascii="Calibri" w:hAnsi="Calibri"/>
                <w:sz w:val="22"/>
              </w:rPr>
              <w:t>98.2</w:t>
            </w:r>
          </w:p>
        </w:tc>
        <w:tc>
          <w:tcPr>
            <w:tcW w:type="dxa" w:w="1728"/>
          </w:tcPr>
          <w:p>
            <w:r>
              <w:rPr>
                <w:rFonts w:ascii="Calibri" w:hAnsi="Calibri"/>
                <w:sz w:val="22"/>
              </w:rPr>
              <w:t>103.4</w:t>
            </w:r>
          </w:p>
        </w:tc>
      </w:tr>
      <w:tr>
        <w:tc>
          <w:tcPr>
            <w:tcW w:type="dxa" w:w="1728"/>
          </w:tcPr>
          <w:p>
            <w:r>
              <w:rPr>
                <w:rFonts w:ascii="Calibri" w:hAnsi="Calibri"/>
                <w:sz w:val="22"/>
              </w:rPr>
              <w:t>Jul 29, 2026 (Today)</w:t>
            </w:r>
          </w:p>
        </w:tc>
        <w:tc>
          <w:tcPr>
            <w:tcW w:type="dxa" w:w="1728"/>
          </w:tcPr>
          <w:p>
            <w:r>
              <w:rPr>
                <w:rFonts w:ascii="Calibri" w:hAnsi="Calibri"/>
                <w:sz w:val="22"/>
              </w:rPr>
              <w:t>$99.71</w:t>
            </w:r>
          </w:p>
        </w:tc>
        <w:tc>
          <w:tcPr>
            <w:tcW w:type="dxa" w:w="1728"/>
          </w:tcPr>
          <w:p>
            <w:r>
              <w:rPr>
                <w:rFonts w:ascii="Calibri" w:hAnsi="Calibri"/>
                <w:sz w:val="22"/>
              </w:rPr>
              <w:t>84.2</w:t>
            </w:r>
          </w:p>
        </w:tc>
        <w:tc>
          <w:tcPr>
            <w:tcW w:type="dxa" w:w="1728"/>
          </w:tcPr>
          <w:p>
            <w:r>
              <w:rPr>
                <w:rFonts w:ascii="Calibri" w:hAnsi="Calibri"/>
                <w:sz w:val="22"/>
              </w:rPr>
              <w:t>100.5</w:t>
            </w:r>
          </w:p>
        </w:tc>
        <w:tc>
          <w:tcPr>
            <w:tcW w:type="dxa" w:w="1728"/>
          </w:tcPr>
          <w:p>
            <w:r>
              <w:rPr>
                <w:rFonts w:ascii="Calibri" w:hAnsi="Calibri"/>
                <w:sz w:val="22"/>
              </w:rPr>
              <w:t>101.5</w:t>
            </w:r>
          </w:p>
        </w:tc>
      </w:tr>
    </w:tbl>
    <w:p>
      <w:r>
        <w:rPr>
          <w:rFonts w:ascii="Calibri" w:hAnsi="Calibri"/>
          <w:b/>
          <w:color w:val="525866"/>
          <w:sz w:val="22"/>
        </w:rPr>
        <w:t xml:space="preserve">Stock performance decomposition: </w:t>
      </w:r>
      <w:r>
        <w:rPr>
          <w:rFonts w:ascii="Calibri" w:hAnsi="Calibri"/>
          <w:color w:val="525866"/>
          <w:sz w:val="22"/>
        </w:rPr>
        <w:t>Over the past 6 months, CRH is down ~19.4% with EV/EBITDA multiple contracting from ~11.7x to ~9.9x (-15.6%), indicating that virtually all of the underperformance is multiple-driven rather than estimate-driven. This creates an asymmetric setup: if Q2 results are solid and management provides Arcosa clarity, the stock could re-rate meaningfully from a compressed base.</w:t>
      </w:r>
    </w:p>
    <w:p>
      <w:r>
        <w:rPr>
          <w:rFonts w:ascii="Calibri" w:hAnsi="Calibri"/>
          <w:i/>
          <w:color w:val="525866"/>
          <w:sz w:val="22"/>
        </w:rPr>
        <w:t>Source: Stock Price Data (Yahoo Finance); Stock Performance Decomposition (Implied).</w:t>
      </w:r>
    </w:p>
    <w:p>
      <w:r>
        <w:br w:type="page"/>
      </w:r>
    </w:p>
    <w:p>
      <w:pPr>
        <w:pStyle w:val="Heading1"/>
        <w:pBdr>
          <w:bottom w:val="single" w:sz="4" w:space="1" w:color="FB9120"/>
        </w:pBdr>
      </w:pPr>
      <w:r>
        <w:rPr>
          <w:rFonts w:ascii="Calibri" w:hAnsi="Calibri"/>
          <w:b/>
          <w:color w:val="3B4259"/>
          <w:sz w:val="40"/>
        </w:rPr>
        <w:t>6. Material News &amp; Developments</w:t>
      </w:r>
    </w:p>
    <w:tbl>
      <w:tblPr>
        <w:tblStyle w:val="TableGrid"/>
        <w:tblW w:type="auto" w:w="0"/>
        <w:tblLook w:firstColumn="1" w:firstRow="1" w:lastColumn="0" w:lastRow="0" w:noHBand="0" w:noVBand="1" w:val="04A0"/>
      </w:tblPr>
      <w:tblGrid>
        <w:gridCol w:w="8640"/>
      </w:tblGrid>
      <w:tr>
        <w:tc>
          <w:tcPr>
            <w:tcW w:type="dxa" w:w="8640"/>
          </w:tcPr>
          <w:p>
            <w:r>
              <w:rPr>
                <w:rFonts w:ascii="Calibri" w:hAnsi="Calibri"/>
                <w:b/>
                <w:sz w:val="22"/>
              </w:rPr>
              <w:t>Key Takeaway</w:t>
            </w:r>
          </w:p>
          <w:p>
            <w:r>
              <w:rPr>
                <w:rFonts w:ascii="Calibri" w:hAnsi="Calibri"/>
                <w:sz w:val="22"/>
              </w:rPr>
              <w:t>The Arcosa acquisition ($11.5B, announced June 22) is the dominant post-Q1 development and will define the Q2 call narrative — investors will focus on deal financing, leverage trajectory, and whether management provides updated synergy guidance; the CFO transition (May 15) adds a secondary layer of scrutiny.</w:t>
            </w:r>
          </w:p>
        </w:tc>
      </w:tr>
    </w:tbl>
    <w:p>
      <w:pPr>
        <w:pStyle w:val="ListBullet"/>
        <w:ind w:left="360" w:hanging="360"/>
      </w:pPr>
      <w:r>
        <w:rPr>
          <w:rFonts w:ascii="Calibri" w:hAnsi="Calibri"/>
          <w:b/>
          <w:color w:val="525866"/>
          <w:sz w:val="22"/>
        </w:rPr>
        <w:t xml:space="preserve">June 22, 2026 — Arcosa Acquisition Announced ($11.5B): </w:t>
      </w:r>
      <w:r>
        <w:rPr>
          <w:rFonts w:ascii="Calibri" w:hAnsi="Calibri"/>
          <w:color w:val="525866"/>
          <w:sz w:val="22"/>
        </w:rPr>
        <w:t xml:space="preserve">CRH Americas agreed to acquire Arcosa, Inc. at $150/share in cash (all-cash deal), with Arcosa becoming a wholly owned subsidiary. The deal is CRH’s largest acquisition in recent history and significantly expands its infrastructure products platform (aggregates, engineered structures, transportation products). Financed via a $5.75B bridge facility (J.P. Morgan / Morgan Stanley) plus cash on hand. Arcosa stockholder vote required; HSR antitrust clearance pending. Outside date: June 21, 2027. </w:t>
      </w:r>
      <w:r>
        <w:rPr>
          <w:rFonts w:ascii="Calibri" w:hAnsi="Calibri"/>
          <w:b/>
          <w:i/>
          <w:color w:val="525866"/>
          <w:sz w:val="22"/>
        </w:rPr>
        <w:t>Implication: Leverage will increase materially; buyback suspended; deal accretion/synergy framework is the key Q2 call question.</w:t>
      </w:r>
    </w:p>
    <w:p>
      <w:pPr>
        <w:pStyle w:val="ListBullet"/>
        <w:ind w:left="360" w:hanging="360"/>
      </w:pPr>
      <w:r>
        <w:rPr>
          <w:rFonts w:ascii="Calibri" w:hAnsi="Calibri"/>
          <w:b/>
          <w:color w:val="525866"/>
          <w:sz w:val="22"/>
        </w:rPr>
        <w:t xml:space="preserve">July 17, 2026 — $2.5B Term Loan Secured (Bridge Reduction): </w:t>
      </w:r>
      <w:r>
        <w:rPr>
          <w:rFonts w:ascii="Calibri" w:hAnsi="Calibri"/>
          <w:color w:val="525866"/>
          <w:sz w:val="22"/>
        </w:rPr>
        <w:t xml:space="preserve">CRH secured a 3-year $2.5B term loan (SOFR + ratings-based margin, no financial covenants), reducing the Arcosa bridge facility from $5.75B to $3.25B. Management indicated it expects to replace remaining bridge commitments with alternative financing (term loans and/or senior notes) prior to closing. </w:t>
      </w:r>
      <w:r>
        <w:rPr>
          <w:rFonts w:ascii="Calibri" w:hAnsi="Calibri"/>
          <w:b/>
          <w:i/>
          <w:color w:val="525866"/>
          <w:sz w:val="22"/>
        </w:rPr>
        <w:t>Implication: Positive signal on financing execution; remaining $3.25B bridge still needs to be termed out.</w:t>
      </w:r>
    </w:p>
    <w:p>
      <w:pPr>
        <w:pStyle w:val="ListBullet"/>
        <w:ind w:left="360" w:hanging="360"/>
      </w:pPr>
      <w:r>
        <w:rPr>
          <w:rFonts w:ascii="Calibri" w:hAnsi="Calibri"/>
          <w:b/>
          <w:color w:val="525866"/>
          <w:sz w:val="22"/>
        </w:rPr>
        <w:t xml:space="preserve">May 15, 2026 — CFO Transition (Aylwyn Bryan Appointed): </w:t>
      </w:r>
      <w:r>
        <w:rPr>
          <w:rFonts w:ascii="Calibri" w:hAnsi="Calibri"/>
          <w:color w:val="525866"/>
          <w:sz w:val="22"/>
        </w:rPr>
        <w:t xml:space="preserve">Nancy Buese stepped down as CFO (effective May 11) by mutual agreement; succeeded by Aylwyn Bryan (14-year CRH veteran, former CFO of Americas Division and Group Head of Finance 2022–2025). Bryan’s base salary: $850K; target bonus 100% of base. Buese to remain as non-executive employee through August 11, 2026 for transition. </w:t>
      </w:r>
      <w:r>
        <w:rPr>
          <w:rFonts w:ascii="Calibri" w:hAnsi="Calibri"/>
          <w:b/>
          <w:i/>
          <w:color w:val="525866"/>
          <w:sz w:val="22"/>
        </w:rPr>
        <w:t>Implication: Internal promotion reduces transition risk; Bryan’s Americas background is directly relevant given Arcosa deal focus.</w:t>
      </w:r>
    </w:p>
    <w:p>
      <w:pPr>
        <w:pStyle w:val="ListBullet"/>
        <w:ind w:left="360" w:hanging="360"/>
      </w:pPr>
      <w:r>
        <w:rPr>
          <w:rFonts w:ascii="Calibri" w:hAnsi="Calibri"/>
          <w:b/>
          <w:color w:val="525866"/>
          <w:sz w:val="22"/>
        </w:rPr>
        <w:t xml:space="preserve">June 16, 2026 — Board Appointment (W. Anthony Will): </w:t>
      </w:r>
      <w:r>
        <w:rPr>
          <w:rFonts w:ascii="Calibri" w:hAnsi="Calibri"/>
          <w:color w:val="525866"/>
          <w:sz w:val="22"/>
        </w:rPr>
        <w:t xml:space="preserve">CRH appointed W. Anthony Will (former CF Industries CEO) to its Board of Directors, expanding the director count. </w:t>
      </w:r>
      <w:r>
        <w:rPr>
          <w:rFonts w:ascii="Calibri" w:hAnsi="Calibri"/>
          <w:b/>
          <w:i/>
          <w:color w:val="525866"/>
          <w:sz w:val="22"/>
        </w:rPr>
        <w:t>Implication: Adds industrial/chemicals expertise; modest governance positive.</w:t>
      </w:r>
    </w:p>
    <w:p>
      <w:pPr>
        <w:pStyle w:val="ListBullet"/>
        <w:ind w:left="360" w:hanging="360"/>
      </w:pPr>
      <w:r>
        <w:rPr>
          <w:rFonts w:ascii="Calibri" w:hAnsi="Calibri"/>
          <w:b/>
          <w:color w:val="525866"/>
          <w:sz w:val="22"/>
        </w:rPr>
        <w:t xml:space="preserve">July 15, 2026 — Martin Marietta Acquires Lhoist North America ($13.5B): </w:t>
      </w:r>
      <w:r>
        <w:rPr>
          <w:rFonts w:ascii="Calibri" w:hAnsi="Calibri"/>
          <w:color w:val="525866"/>
          <w:sz w:val="22"/>
        </w:rPr>
        <w:t xml:space="preserve">Peer MLM announced acquisition of Lhoist North America (lime, dolomitic lime, aggregates) for $13.5B in cash and stock, secured via a $1.5B term loan. Largest deal in MLM’s history. </w:t>
      </w:r>
      <w:r>
        <w:rPr>
          <w:rFonts w:ascii="Calibri" w:hAnsi="Calibri"/>
          <w:b/>
          <w:i/>
          <w:color w:val="525866"/>
          <w:sz w:val="22"/>
        </w:rPr>
        <w:t>Implication: Signals continued consolidation in North American building materials; validates CRH’s M&amp;A-driven strategy; may intensify competition in certain aggregates/industrial minerals markets.</w:t>
      </w:r>
    </w:p>
    <w:p>
      <w:pPr>
        <w:pStyle w:val="ListBullet"/>
        <w:ind w:left="360" w:hanging="360"/>
      </w:pPr>
      <w:r>
        <w:rPr>
          <w:rFonts w:ascii="Calibri" w:hAnsi="Calibri"/>
          <w:b/>
          <w:color w:val="525866"/>
          <w:sz w:val="22"/>
        </w:rPr>
        <w:t xml:space="preserve">July 29, 2026 — Vulcan Materials (VMC) Q2 2026 Results (Same Day): </w:t>
      </w:r>
      <w:r>
        <w:rPr>
          <w:rFonts w:ascii="Calibri" w:hAnsi="Calibri"/>
          <w:color w:val="525866"/>
          <w:sz w:val="22"/>
        </w:rPr>
        <w:t xml:space="preserve">VMC reported modest Q2 upside on revenue ($2.16B vs. $2.12B est.) and EBITDA, with aggregates shipments +1% YoY despite wet weather in Texas and Southeast. Reiterated full-year EBITDA guidance. Aggregates pricing +5% YoY. </w:t>
      </w:r>
      <w:r>
        <w:rPr>
          <w:rFonts w:ascii="Calibri" w:hAnsi="Calibri"/>
          <w:b/>
          <w:i/>
          <w:color w:val="525866"/>
          <w:sz w:val="22"/>
        </w:rPr>
        <w:t>Implication: Direct positive read-through for CRH Americas Materials — confirms pricing momentum and infrastructure demand; weather headwind in Texas/Southeast is a shared risk.</w:t>
      </w:r>
    </w:p>
    <w:p>
      <w:pPr>
        <w:pStyle w:val="ListBullet"/>
        <w:ind w:left="360" w:hanging="360"/>
      </w:pPr>
      <w:r>
        <w:rPr>
          <w:rFonts w:ascii="Calibri" w:hAnsi="Calibri"/>
          <w:b/>
          <w:color w:val="525866"/>
          <w:sz w:val="22"/>
        </w:rPr>
        <w:t xml:space="preserve">May 7, 2026 — AGM: All Proposals Approved: </w:t>
      </w:r>
      <w:r>
        <w:rPr>
          <w:rFonts w:ascii="Calibri" w:hAnsi="Calibri"/>
          <w:color w:val="525866"/>
          <w:sz w:val="22"/>
        </w:rPr>
        <w:t xml:space="preserve">CRH shareholders approved all AGM proposals, including cancellation of preference shares. </w:t>
      </w:r>
      <w:r>
        <w:rPr>
          <w:rFonts w:ascii="Calibri" w:hAnsi="Calibri"/>
          <w:b/>
          <w:i/>
          <w:color w:val="525866"/>
          <w:sz w:val="22"/>
        </w:rPr>
        <w:t>Implication: Clean governance outcome; no shareholder opposition to management agenda.</w:t>
      </w:r>
    </w:p>
    <w:p>
      <w:pPr>
        <w:pStyle w:val="ListBullet"/>
        <w:ind w:left="360" w:hanging="360"/>
      </w:pPr>
      <w:r>
        <w:rPr>
          <w:rFonts w:ascii="Calibri" w:hAnsi="Calibri"/>
          <w:b/>
          <w:color w:val="525866"/>
          <w:sz w:val="22"/>
        </w:rPr>
        <w:t xml:space="preserve">May 1, 2026 — MSHA Mine Safety Order Resolved: </w:t>
      </w:r>
      <w:r>
        <w:rPr>
          <w:rFonts w:ascii="Calibri" w:hAnsi="Calibri"/>
          <w:color w:val="525866"/>
          <w:sz w:val="22"/>
        </w:rPr>
        <w:t xml:space="preserve">CRH subsidiary resolved an MSHA mine safety order at an Oklahoma quarry. </w:t>
      </w:r>
      <w:r>
        <w:rPr>
          <w:rFonts w:ascii="Calibri" w:hAnsi="Calibri"/>
          <w:b/>
          <w:i/>
          <w:color w:val="525866"/>
          <w:sz w:val="22"/>
        </w:rPr>
        <w:t>Implication: Minor operational item; no material financial impact expected.</w:t>
      </w:r>
    </w:p>
    <w:p>
      <w:pPr>
        <w:pStyle w:val="Heading2"/>
      </w:pPr>
      <w:r>
        <w:rPr>
          <w:rFonts w:ascii="Calibri" w:hAnsi="Calibri"/>
          <w:b/>
          <w:color w:val="3B4259"/>
          <w:sz w:val="28"/>
        </w:rPr>
        <w:t>Eagle Materials (EXP) — Fiscal Q1 FY2027 Earnings (Quarter Ended June 30, 2026; Reported July 29, 2026)</w:t>
      </w:r>
    </w:p>
    <w:p>
      <w:r>
        <w:rPr>
          <w:rFonts w:ascii="Calibri" w:hAnsi="Calibri"/>
          <w:b/>
          <w:color w:val="525866"/>
          <w:sz w:val="22"/>
        </w:rPr>
        <w:t xml:space="preserve">Relevance: </w:t>
      </w:r>
      <w:r>
        <w:rPr>
          <w:rFonts w:ascii="Calibri" w:hAnsi="Calibri"/>
          <w:color w:val="525866"/>
          <w:sz w:val="22"/>
        </w:rPr>
        <w:t>EXP is a U.S.-focused cement and aggregates producer with direct product and geographic overlap with CRH’s Americas Materials division. EXP’s fiscal Q1 FY2027 (ending June 30, 2026) is the same calendar quarter as CRH’s Q2 2026.</w:t>
      </w:r>
    </w:p>
    <w:p>
      <w:pPr>
        <w:pStyle w:val="ListBullet"/>
        <w:ind w:left="360" w:hanging="360"/>
      </w:pPr>
      <w:r>
        <w:rPr>
          <w:rFonts w:ascii="Calibri" w:hAnsi="Calibri"/>
          <w:b/>
          <w:color w:val="525866"/>
          <w:sz w:val="22"/>
        </w:rPr>
        <w:t xml:space="preserve">Overall demand: </w:t>
      </w:r>
      <w:r>
        <w:rPr>
          <w:rFonts w:ascii="Calibri" w:hAnsi="Calibri"/>
          <w:color w:val="525866"/>
          <w:sz w:val="22"/>
        </w:rPr>
        <w:t>"Steady results for the first quarter of the fiscal year" with record revenue of $651M. Heavy materials (cement and aggregates) revenue up 8% YoY, "driven primarily by increased cement and aggregate sales volume, underscoring healthy underlying demand."</w:t>
      </w:r>
    </w:p>
    <w:p>
      <w:pPr>
        <w:pStyle w:val="ListBullet"/>
        <w:ind w:left="360" w:hanging="360"/>
      </w:pPr>
      <w:r>
        <w:rPr>
          <w:rFonts w:ascii="Calibri" w:hAnsi="Calibri"/>
          <w:b/>
          <w:color w:val="525866"/>
          <w:sz w:val="22"/>
        </w:rPr>
        <w:t xml:space="preserve">Infrastructure / public construction: </w:t>
      </w:r>
      <w:r>
        <w:rPr>
          <w:rFonts w:ascii="Calibri" w:hAnsi="Calibri"/>
          <w:color w:val="525866"/>
          <w:sz w:val="22"/>
        </w:rPr>
        <w:t>Cement and aggregates volumes "continue to be supported by elevated infrastructure spending driven by federal IIJA bill and elevated state DOT budgets." Customers report a "robust pipeline of multiyear infrastructure projects." Infrastructure and non-residential construction make up "about 80% of heavy side end market exposure."</w:t>
      </w:r>
    </w:p>
    <w:p>
      <w:pPr>
        <w:pStyle w:val="ListBullet"/>
        <w:ind w:left="360" w:hanging="360"/>
      </w:pPr>
      <w:r>
        <w:rPr>
          <w:rFonts w:ascii="Calibri" w:hAnsi="Calibri"/>
          <w:b/>
          <w:color w:val="525866"/>
          <w:sz w:val="22"/>
        </w:rPr>
        <w:t xml:space="preserve">Data centers / nonresidential: </w:t>
      </w:r>
      <w:r>
        <w:rPr>
          <w:rFonts w:ascii="Calibri" w:hAnsi="Calibri"/>
          <w:color w:val="525866"/>
          <w:sz w:val="22"/>
        </w:rPr>
        <w:t>"Customers across all of our regions are seeing growth in data center construction." EXP "bid double the number of data centers in the first half of calendar 2026 versus the first half of calendar 2025." Data center projects are multi-year engagements. Private non-residential activity, especially around data centers, "continue to be strong" and EXP believes it is "probably in the early innings of some of that activity."</w:t>
      </w:r>
    </w:p>
    <w:p>
      <w:pPr>
        <w:pStyle w:val="ListBullet"/>
        <w:ind w:left="360" w:hanging="360"/>
      </w:pPr>
      <w:r>
        <w:rPr>
          <w:rFonts w:ascii="Calibri" w:hAnsi="Calibri"/>
          <w:b/>
          <w:color w:val="525866"/>
          <w:sz w:val="22"/>
        </w:rPr>
        <w:t xml:space="preserve">Cement pricing: </w:t>
      </w:r>
      <w:r>
        <w:rPr>
          <w:rFonts w:ascii="Calibri" w:hAnsi="Calibri"/>
          <w:color w:val="525866"/>
          <w:sz w:val="22"/>
        </w:rPr>
        <w:t>Gross cement price up ~1% YoY; however, net cement sales price was down 2% due to "elevated freight rates broadly impacting net cement prices." Some markets saw gross price increases but elevated freight costs more than offset those gains. Cement pricing is "very regional."</w:t>
      </w:r>
    </w:p>
    <w:p>
      <w:pPr>
        <w:pStyle w:val="ListBullet"/>
        <w:ind w:left="360" w:hanging="360"/>
      </w:pPr>
      <w:r>
        <w:rPr>
          <w:rFonts w:ascii="Calibri" w:hAnsi="Calibri"/>
          <w:b/>
          <w:color w:val="525866"/>
          <w:sz w:val="22"/>
        </w:rPr>
        <w:t xml:space="preserve">Residential: </w:t>
      </w:r>
      <w:r>
        <w:rPr>
          <w:rFonts w:ascii="Calibri" w:hAnsi="Calibri"/>
          <w:color w:val="525866"/>
          <w:sz w:val="22"/>
        </w:rPr>
        <w:t>"Softness" in residential, which represents ~80% of wallboard end market exposure. "While there has not been a near-term catalyst to help bring down mortgage rates and spur a rebound in home construction, we have seen relatively stable demand levels." Housing at "trough level activities" due to higher interest rates, but "still good demand and structurally short supply of homes in the US."</w:t>
      </w:r>
    </w:p>
    <w:p>
      <w:pPr>
        <w:pStyle w:val="ListBullet"/>
        <w:ind w:left="360" w:hanging="360"/>
      </w:pPr>
      <w:r>
        <w:rPr>
          <w:rFonts w:ascii="Calibri" w:hAnsi="Calibri"/>
          <w:b/>
          <w:color w:val="525866"/>
          <w:sz w:val="22"/>
        </w:rPr>
        <w:t xml:space="preserve">Tariffs / cement supply: </w:t>
      </w:r>
      <w:r>
        <w:rPr>
          <w:rFonts w:ascii="Calibri" w:hAnsi="Calibri"/>
          <w:color w:val="525866"/>
          <w:sz w:val="22"/>
        </w:rPr>
        <w:t>U.S. cement industry is "structurally undersupplied" and requires imports to meet demand. Any tightening of supply chain from tariffs "would be beneficial for a pricing environment or supply demand environment."</w:t>
      </w:r>
    </w:p>
    <w:p>
      <w:pPr>
        <w:pStyle w:val="ListBullet"/>
        <w:ind w:left="360" w:hanging="360"/>
      </w:pPr>
      <w:r>
        <w:rPr>
          <w:rFonts w:ascii="Calibri" w:hAnsi="Calibri"/>
          <w:b/>
          <w:color w:val="525866"/>
          <w:sz w:val="22"/>
        </w:rPr>
        <w:t xml:space="preserve">CRH read-through: </w:t>
      </w:r>
      <w:r>
        <w:rPr>
          <w:rFonts w:ascii="Calibri" w:hAnsi="Calibri"/>
          <w:i/>
          <w:color w:val="525866"/>
          <w:sz w:val="22"/>
        </w:rPr>
        <w:t>EXP’s strong infrastructure and data center demand commentary is highly applicable to CRH’s U.S. cement and aggregates operations. The freight cost headwind on net cement pricing is a risk to watch for CRH’s Americas Materials margins. The structural undersupply of U.S. cement is a long-term pricing tailwind for CRH.</w:t>
      </w:r>
    </w:p>
    <w:p>
      <w:pPr>
        <w:pStyle w:val="Heading2"/>
      </w:pPr>
      <w:r>
        <w:rPr>
          <w:rFonts w:ascii="Calibri" w:hAnsi="Calibri"/>
          <w:b/>
          <w:color w:val="3B4259"/>
          <w:sz w:val="28"/>
        </w:rPr>
        <w:t>Cemex (CX) — Q2 2026 Earnings (Reported July 23, 2026)</w:t>
      </w:r>
    </w:p>
    <w:p>
      <w:r>
        <w:rPr>
          <w:rFonts w:ascii="Calibri" w:hAnsi="Calibri"/>
          <w:b/>
          <w:color w:val="525866"/>
          <w:sz w:val="22"/>
        </w:rPr>
        <w:t xml:space="preserve">Relevance: </w:t>
      </w:r>
      <w:r>
        <w:rPr>
          <w:rFonts w:ascii="Calibri" w:hAnsi="Calibri"/>
          <w:color w:val="525866"/>
          <w:sz w:val="22"/>
        </w:rPr>
        <w:t>CX is a global cement and building materials peer with significant U.S. and European operations overlapping with CRH’s Americas Materials and International divisions.</w:t>
      </w:r>
    </w:p>
    <w:p>
      <w:pPr>
        <w:pStyle w:val="ListBullet"/>
        <w:ind w:left="360" w:hanging="360"/>
      </w:pPr>
      <w:r>
        <w:rPr>
          <w:rFonts w:ascii="Calibri" w:hAnsi="Calibri"/>
          <w:b/>
          <w:color w:val="525866"/>
          <w:sz w:val="22"/>
        </w:rPr>
        <w:t xml:space="preserve">U.S. demand: </w:t>
      </w:r>
      <w:r>
        <w:rPr>
          <w:rFonts w:ascii="Calibri" w:hAnsi="Calibri"/>
          <w:color w:val="525866"/>
          <w:sz w:val="22"/>
        </w:rPr>
        <w:t>"Demand remained resilient despite unusually wet conditions in Texas and parts of the Mid-South." Adjusting for weather, CX estimates cement and ready-mix volumes would have grown 1% and aggregates would have expanded 7%. Demand "led mainly by infrastructure, supported by the ongoing rollout of IIJA projects with about 50% of allocated funds already spent."</w:t>
      </w:r>
    </w:p>
    <w:p>
      <w:pPr>
        <w:pStyle w:val="ListBullet"/>
        <w:ind w:left="360" w:hanging="360"/>
      </w:pPr>
      <w:r>
        <w:rPr>
          <w:rFonts w:ascii="Calibri" w:hAnsi="Calibri"/>
          <w:b/>
          <w:color w:val="525866"/>
          <w:sz w:val="22"/>
        </w:rPr>
        <w:t xml:space="preserve">U.S. pricing: </w:t>
      </w:r>
      <w:r>
        <w:rPr>
          <w:rFonts w:ascii="Calibri" w:hAnsi="Calibri"/>
          <w:color w:val="525866"/>
          <w:sz w:val="22"/>
        </w:rPr>
        <w:t>Cement prices improved 1% sequentially; ready-mix prices increased 2% (fuel surcharges); aggregates prices increased at a "mid-single digit rate" compared to year-end 2025 on a mix-adjusted basis.</w:t>
      </w:r>
    </w:p>
    <w:p>
      <w:pPr>
        <w:pStyle w:val="ListBullet"/>
        <w:ind w:left="360" w:hanging="360"/>
      </w:pPr>
      <w:r>
        <w:rPr>
          <w:rFonts w:ascii="Calibri" w:hAnsi="Calibri"/>
          <w:b/>
          <w:color w:val="525866"/>
          <w:sz w:val="22"/>
        </w:rPr>
        <w:t xml:space="preserve">U.S. data centers / nonresidential: </w:t>
      </w:r>
      <w:r>
        <w:rPr>
          <w:rFonts w:ascii="Calibri" w:hAnsi="Calibri"/>
          <w:color w:val="525866"/>
          <w:sz w:val="22"/>
        </w:rPr>
        <w:t>"Industrial demand, particularly that related to large data centers, semiconductor chip facilities and manufacturing continues to grow." CX estimates ~35% of mega data center projects (&gt;$500M) currently planned or under construction are within its footprint. CX estimates "US data centers could lead to an increase of around 2% of annual national cement consumption between 2026 and 2030." Rising investment in power sector for AI and electricity needs also supports demand.</w:t>
      </w:r>
    </w:p>
    <w:p>
      <w:pPr>
        <w:pStyle w:val="ListBullet"/>
        <w:ind w:left="360" w:hanging="360"/>
      </w:pPr>
      <w:r>
        <w:rPr>
          <w:rFonts w:ascii="Calibri" w:hAnsi="Calibri"/>
          <w:b/>
          <w:color w:val="525866"/>
          <w:sz w:val="22"/>
        </w:rPr>
        <w:t xml:space="preserve">U.S. residential: </w:t>
      </w:r>
      <w:r>
        <w:rPr>
          <w:rFonts w:ascii="Calibri" w:hAnsi="Calibri"/>
          <w:color w:val="525866"/>
          <w:sz w:val="22"/>
        </w:rPr>
        <w:t>"Remains challenged by affordability constraints and elevated housing inventories in certain markets." Medium-term recovery supported by pent-up demand, chronic housing deficit, and favorable demographics.</w:t>
      </w:r>
    </w:p>
    <w:p>
      <w:pPr>
        <w:pStyle w:val="ListBullet"/>
        <w:ind w:left="360" w:hanging="360"/>
      </w:pPr>
      <w:r>
        <w:rPr>
          <w:rFonts w:ascii="Calibri" w:hAnsi="Calibri"/>
          <w:b/>
          <w:color w:val="525866"/>
          <w:sz w:val="22"/>
        </w:rPr>
        <w:t xml:space="preserve">U.S. H2 2026 outlook: </w:t>
      </w:r>
      <w:r>
        <w:rPr>
          <w:rFonts w:ascii="Calibri" w:hAnsi="Calibri"/>
          <w:color w:val="525866"/>
          <w:sz w:val="22"/>
        </w:rPr>
        <w:t>CX expects "a better margin in our performance in the second half" as Q2 headwinds (temporary aggregate purchases, elevated cement import consumption, weather) normalize. IIJA funds and rising state highway funding expected to "continue to support demand in the foreseeable future."</w:t>
      </w:r>
    </w:p>
    <w:p>
      <w:pPr>
        <w:pStyle w:val="ListBullet"/>
        <w:ind w:left="360" w:hanging="360"/>
      </w:pPr>
      <w:r>
        <w:rPr>
          <w:rFonts w:ascii="Calibri" w:hAnsi="Calibri"/>
          <w:b/>
          <w:color w:val="525866"/>
          <w:sz w:val="22"/>
        </w:rPr>
        <w:t xml:space="preserve">Europe: </w:t>
      </w:r>
      <w:r>
        <w:rPr>
          <w:rFonts w:ascii="Calibri" w:hAnsi="Calibri"/>
          <w:color w:val="525866"/>
          <w:sz w:val="22"/>
        </w:rPr>
        <w:t>"Lower volumes weighed on results in Europe" due to "recent heat waves, project delays, and slower demand recovery." Residential activity "remains tepid, with higher interest rates still pointing to a more gradual recovery." Infrastructure "resilient, albeit with delays in some markets." If "weather normalizes, we should see a bit more of operating leverage."</w:t>
      </w:r>
    </w:p>
    <w:p>
      <w:pPr>
        <w:pStyle w:val="ListBullet"/>
        <w:ind w:left="360" w:hanging="360"/>
      </w:pPr>
      <w:r>
        <w:rPr>
          <w:rFonts w:ascii="Calibri" w:hAnsi="Calibri"/>
          <w:b/>
          <w:color w:val="525866"/>
          <w:sz w:val="22"/>
        </w:rPr>
        <w:t xml:space="preserve">CRH read-through: </w:t>
      </w:r>
      <w:r>
        <w:rPr>
          <w:rFonts w:ascii="Calibri" w:hAnsi="Calibri"/>
          <w:i/>
          <w:color w:val="525866"/>
          <w:sz w:val="22"/>
        </w:rPr>
        <w:t>CX’s U.S. commentary (weather headwinds in Texas/Mid-South, strong infrastructure and data center demand, mid-single digit aggregates pricing) is directly applicable to CRH Americas Materials. The European softness (heat waves, project delays, tepid residential) is a risk for CRH’s International division. CX’s expectation of better H2 margins in the U.S. is a positive signal for CRH’s full-year guidance.</w:t>
      </w:r>
    </w:p>
    <w:p>
      <w:pPr>
        <w:pStyle w:val="Heading2"/>
      </w:pPr>
      <w:r>
        <w:rPr>
          <w:rFonts w:ascii="Calibri" w:hAnsi="Calibri"/>
          <w:b/>
          <w:color w:val="3B4259"/>
          <w:sz w:val="28"/>
        </w:rPr>
        <w:t>Sherwin-Williams (SHW) — Q2 2026 Earnings (Reported July 28, 2026)</w:t>
      </w:r>
    </w:p>
    <w:p>
      <w:r>
        <w:rPr>
          <w:rFonts w:ascii="Calibri" w:hAnsi="Calibri"/>
          <w:b/>
          <w:color w:val="525866"/>
          <w:sz w:val="22"/>
        </w:rPr>
        <w:t xml:space="preserve">Relevance: </w:t>
      </w:r>
      <w:r>
        <w:rPr>
          <w:rFonts w:ascii="Calibri" w:hAnsi="Calibri"/>
          <w:color w:val="525866"/>
          <w:sz w:val="22"/>
        </w:rPr>
        <w:t>SHW is a read-through for U.S. construction activity and contractor demand, particularly relevant for CRH’s Americas Solutions (building and infrastructure solutions) segment.</w:t>
      </w:r>
    </w:p>
    <w:p>
      <w:pPr>
        <w:pStyle w:val="ListBullet"/>
        <w:ind w:left="360" w:hanging="360"/>
      </w:pPr>
      <w:r>
        <w:rPr>
          <w:rFonts w:ascii="Calibri" w:hAnsi="Calibri"/>
          <w:b/>
          <w:color w:val="525866"/>
          <w:sz w:val="22"/>
        </w:rPr>
        <w:t xml:space="preserve">Q2 results: </w:t>
      </w:r>
      <w:r>
        <w:rPr>
          <w:rFonts w:ascii="Calibri" w:hAnsi="Calibri"/>
          <w:color w:val="525866"/>
          <w:sz w:val="22"/>
        </w:rPr>
        <w:t>SHW reported Q2 EPS of $3.70 (beat vs. $3.51 consensus) and revenue of $6.78B (+7.5% YoY, beat vs. $6.59B consensus). Raised full-year EPS guidance to $11.80–$12.20 from $11.50–$11.90.</w:t>
      </w:r>
    </w:p>
    <w:p>
      <w:pPr>
        <w:pStyle w:val="ListBullet"/>
        <w:ind w:left="360" w:hanging="360"/>
      </w:pPr>
      <w:r>
        <w:rPr>
          <w:rFonts w:ascii="Calibri" w:hAnsi="Calibri"/>
          <w:b/>
          <w:color w:val="525866"/>
          <w:sz w:val="22"/>
        </w:rPr>
        <w:t xml:space="preserve">Demand commentary: </w:t>
      </w:r>
      <w:r>
        <w:rPr>
          <w:rFonts w:ascii="Calibri" w:hAnsi="Calibri"/>
          <w:color w:val="525866"/>
          <w:sz w:val="22"/>
        </w:rPr>
        <w:t>Notably, SHW boosted its outlook "despite what they themselves called no meaningful improvement in demand" (Bloomberg). Sales beat driven by growth in autorefinish and industrial painting (Mizuho). Suggests volume/mix and pricing execution rather than a broad demand recovery.</w:t>
      </w:r>
    </w:p>
    <w:p>
      <w:pPr>
        <w:pStyle w:val="ListBullet"/>
        <w:ind w:left="360" w:hanging="360"/>
      </w:pPr>
      <w:r>
        <w:rPr>
          <w:rFonts w:ascii="Calibri" w:hAnsi="Calibri"/>
          <w:b/>
          <w:color w:val="525866"/>
          <w:sz w:val="22"/>
        </w:rPr>
        <w:t xml:space="preserve">CRH read-through: </w:t>
      </w:r>
      <w:r>
        <w:rPr>
          <w:rFonts w:ascii="Calibri" w:hAnsi="Calibri"/>
          <w:i/>
          <w:color w:val="525866"/>
          <w:sz w:val="22"/>
        </w:rPr>
        <w:t>SHW’s guidance raise despite flat underlying demand suggests disciplined pricing and execution can drive outperformance even in a muted demand environment — consistent with CRH’s own margin expansion narrative. However, the "no meaningful improvement in demand" comment is a mild caution for CRH’s Americas Solutions segment.</w:t>
      </w:r>
    </w:p>
    <w:p>
      <w:pPr>
        <w:pStyle w:val="Heading2"/>
      </w:pPr>
      <w:r>
        <w:rPr>
          <w:rFonts w:ascii="Calibri" w:hAnsi="Calibri"/>
          <w:b/>
          <w:color w:val="3B4259"/>
          <w:sz w:val="28"/>
        </w:rPr>
        <w:t>Dow Inc. (DOW) — Q2 2026 Earnings (Reported July 23, 2026)</w:t>
      </w:r>
    </w:p>
    <w:p>
      <w:r>
        <w:rPr>
          <w:rFonts w:ascii="Calibri" w:hAnsi="Calibri"/>
          <w:b/>
          <w:color w:val="525866"/>
          <w:sz w:val="22"/>
        </w:rPr>
        <w:t xml:space="preserve">Relevance: </w:t>
      </w:r>
      <w:r>
        <w:rPr>
          <w:rFonts w:ascii="Calibri" w:hAnsi="Calibri"/>
          <w:color w:val="525866"/>
          <w:sz w:val="22"/>
        </w:rPr>
        <w:t>DOW provides a read-through on U.S. construction and housing market conditions, as well as cost input trends (energy, chemicals) relevant to CRH’s cost base.</w:t>
      </w:r>
    </w:p>
    <w:p>
      <w:pPr>
        <w:pStyle w:val="ListBullet"/>
        <w:ind w:left="360" w:hanging="360"/>
      </w:pPr>
      <w:r>
        <w:rPr>
          <w:rFonts w:ascii="Calibri" w:hAnsi="Calibri"/>
          <w:b/>
          <w:color w:val="525866"/>
          <w:sz w:val="22"/>
        </w:rPr>
        <w:t xml:space="preserve">Q2 results: </w:t>
      </w:r>
      <w:r>
        <w:rPr>
          <w:rFonts w:ascii="Calibri" w:hAnsi="Calibri"/>
          <w:color w:val="525866"/>
          <w:sz w:val="22"/>
        </w:rPr>
        <w:t>DOW reported Q2 EPS of $1.44 (beat vs. $1.28–$1.31 consensus) with sales of $12.09B and EBITDA of $2.3B, both slightly ahead of estimates. Increased cost savings target from restructuring by ~$200M.</w:t>
      </w:r>
    </w:p>
    <w:p>
      <w:pPr>
        <w:pStyle w:val="ListBullet"/>
        <w:ind w:left="360" w:hanging="360"/>
      </w:pPr>
      <w:r>
        <w:rPr>
          <w:rFonts w:ascii="Calibri" w:hAnsi="Calibri"/>
          <w:b/>
          <w:color w:val="525866"/>
          <w:sz w:val="22"/>
        </w:rPr>
        <w:t xml:space="preserve">Macro commentary: </w:t>
      </w:r>
      <w:r>
        <w:rPr>
          <w:rFonts w:ascii="Calibri" w:hAnsi="Calibri"/>
          <w:color w:val="525866"/>
          <w:sz w:val="22"/>
        </w:rPr>
        <w:t>"Resilient global packaging demand, robust growth in data center demand, and resilient U.S. consumer spending." However, "China’s consumer demand remains soft and uneven, and the U.S. housing market remains weak due to affordability concerns and high mortgage rates."</w:t>
      </w:r>
    </w:p>
    <w:p>
      <w:pPr>
        <w:pStyle w:val="ListBullet"/>
        <w:ind w:left="360" w:hanging="360"/>
      </w:pPr>
      <w:r>
        <w:rPr>
          <w:rFonts w:ascii="Calibri" w:hAnsi="Calibri"/>
          <w:b/>
          <w:color w:val="525866"/>
          <w:sz w:val="22"/>
        </w:rPr>
        <w:t xml:space="preserve">Q3 guidance: </w:t>
      </w:r>
      <w:r>
        <w:rPr>
          <w:rFonts w:ascii="Calibri" w:hAnsi="Calibri"/>
          <w:color w:val="525866"/>
          <w:sz w:val="22"/>
        </w:rPr>
        <w:t>DOW’s Q3 EBITDA guidance of $1.75B fell slightly short of Street expectations of $1.86B, suggesting some caution on the near-term outlook.</w:t>
      </w:r>
    </w:p>
    <w:p>
      <w:pPr>
        <w:pStyle w:val="ListBullet"/>
        <w:ind w:left="360" w:hanging="360"/>
      </w:pPr>
      <w:r>
        <w:rPr>
          <w:rFonts w:ascii="Calibri" w:hAnsi="Calibri"/>
          <w:b/>
          <w:color w:val="525866"/>
          <w:sz w:val="22"/>
        </w:rPr>
        <w:t xml:space="preserve">CRH read-through: </w:t>
      </w:r>
      <w:r>
        <w:rPr>
          <w:rFonts w:ascii="Calibri" w:hAnsi="Calibri"/>
          <w:i/>
          <w:color w:val="525866"/>
          <w:sz w:val="22"/>
        </w:rPr>
        <w:t>DOW’s confirmation of weak U.S. housing (affordability, high mortgage rates) is consistent with CRH’s own cautious residential outlook. Data center demand strength is a shared tailwind. Energy cost environment appears manageable.</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Signal for CRH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Vulcan Materials (VMC)</w:t>
            </w:r>
          </w:p>
        </w:tc>
        <w:tc>
          <w:tcPr>
            <w:tcW w:type="dxa" w:w="2160"/>
          </w:tcPr>
          <w:p>
            <w:r>
              <w:rPr>
                <w:rFonts w:ascii="Calibri" w:hAnsi="Calibri"/>
                <w:sz w:val="22"/>
              </w:rPr>
              <w:t>Jul 29, 2026</w:t>
            </w:r>
          </w:p>
        </w:tc>
        <w:tc>
          <w:tcPr>
            <w:tcW w:type="dxa" w:w="2160"/>
          </w:tcPr>
          <w:p>
            <w:r>
              <w:rPr>
                <w:rFonts w:ascii="Calibri" w:hAnsi="Calibri"/>
                <w:sz w:val="22"/>
              </w:rPr>
              <w:t>Aggregates pricing +5% YoY; infrastructure awards up 20% in VMC markets; guidance reiterated; weather headwind in TX/SE</w:t>
            </w:r>
          </w:p>
        </w:tc>
        <w:tc>
          <w:tcPr>
            <w:tcW w:type="dxa" w:w="2160"/>
          </w:tcPr>
          <w:p>
            <w:r>
              <w:rPr>
                <w:rFonts w:ascii="Calibri" w:hAnsi="Calibri"/>
                <w:b/>
                <w:color w:val="30A46C"/>
                <w:sz w:val="22"/>
              </w:rPr>
              <w:t>Positive</w:t>
            </w:r>
          </w:p>
        </w:tc>
      </w:tr>
      <w:tr>
        <w:tc>
          <w:tcPr>
            <w:tcW w:type="dxa" w:w="2160"/>
          </w:tcPr>
          <w:p>
            <w:r>
              <w:rPr>
                <w:rFonts w:ascii="Calibri" w:hAnsi="Calibri"/>
                <w:sz w:val="22"/>
              </w:rPr>
              <w:t>Eagle Materials (EXP)</w:t>
            </w:r>
          </w:p>
        </w:tc>
        <w:tc>
          <w:tcPr>
            <w:tcW w:type="dxa" w:w="2160"/>
          </w:tcPr>
          <w:p>
            <w:r>
              <w:rPr>
                <w:rFonts w:ascii="Calibri" w:hAnsi="Calibri"/>
                <w:sz w:val="22"/>
              </w:rPr>
              <w:t>Jul 29, 2026</w:t>
            </w:r>
          </w:p>
        </w:tc>
        <w:tc>
          <w:tcPr>
            <w:tcW w:type="dxa" w:w="2160"/>
          </w:tcPr>
          <w:p>
            <w:r>
              <w:rPr>
                <w:rFonts w:ascii="Calibri" w:hAnsi="Calibri"/>
                <w:sz w:val="22"/>
              </w:rPr>
              <w:t>Heavy materials revenue +8%; data center bids doubled YoY; cement structurally undersupplied; freight costs headwind on net pricing</w:t>
            </w:r>
          </w:p>
        </w:tc>
        <w:tc>
          <w:tcPr>
            <w:tcW w:type="dxa" w:w="2160"/>
          </w:tcPr>
          <w:p>
            <w:r>
              <w:rPr>
                <w:rFonts w:ascii="Calibri" w:hAnsi="Calibri"/>
                <w:b/>
                <w:color w:val="30A46C"/>
                <w:sz w:val="22"/>
              </w:rPr>
              <w:t>Positive (with cost caveat)</w:t>
            </w:r>
          </w:p>
        </w:tc>
      </w:tr>
      <w:tr>
        <w:tc>
          <w:tcPr>
            <w:tcW w:type="dxa" w:w="2160"/>
          </w:tcPr>
          <w:p>
            <w:r>
              <w:rPr>
                <w:rFonts w:ascii="Calibri" w:hAnsi="Calibri"/>
                <w:sz w:val="22"/>
              </w:rPr>
              <w:t>Cemex (CX)</w:t>
            </w:r>
          </w:p>
        </w:tc>
        <w:tc>
          <w:tcPr>
            <w:tcW w:type="dxa" w:w="2160"/>
          </w:tcPr>
          <w:p>
            <w:r>
              <w:rPr>
                <w:rFonts w:ascii="Calibri" w:hAnsi="Calibri"/>
                <w:sz w:val="22"/>
              </w:rPr>
              <w:t>Jul 23, 2026</w:t>
            </w:r>
          </w:p>
        </w:tc>
        <w:tc>
          <w:tcPr>
            <w:tcW w:type="dxa" w:w="2160"/>
          </w:tcPr>
          <w:p>
            <w:r>
              <w:rPr>
                <w:rFonts w:ascii="Calibri" w:hAnsi="Calibri"/>
                <w:sz w:val="22"/>
              </w:rPr>
              <w:t>U.S. demand resilient; aggregates pricing mid-single digit; data centers = 2% of national cement demand 2026–2030; Europe soft (heat waves, delays)</w:t>
            </w:r>
          </w:p>
        </w:tc>
        <w:tc>
          <w:tcPr>
            <w:tcW w:type="dxa" w:w="2160"/>
          </w:tcPr>
          <w:p>
            <w:r>
              <w:rPr>
                <w:rFonts w:ascii="Calibri" w:hAnsi="Calibri"/>
                <w:b/>
                <w:color w:val="002FA7"/>
                <w:sz w:val="22"/>
              </w:rPr>
              <w:t>Mixed (US+, Europe-)</w:t>
            </w:r>
          </w:p>
        </w:tc>
      </w:tr>
      <w:tr>
        <w:tc>
          <w:tcPr>
            <w:tcW w:type="dxa" w:w="2160"/>
          </w:tcPr>
          <w:p>
            <w:r>
              <w:rPr>
                <w:rFonts w:ascii="Calibri" w:hAnsi="Calibri"/>
                <w:sz w:val="22"/>
              </w:rPr>
              <w:t>Sherwin-Williams (SHW)</w:t>
            </w:r>
          </w:p>
        </w:tc>
        <w:tc>
          <w:tcPr>
            <w:tcW w:type="dxa" w:w="2160"/>
          </w:tcPr>
          <w:p>
            <w:r>
              <w:rPr>
                <w:rFonts w:ascii="Calibri" w:hAnsi="Calibri"/>
                <w:sz w:val="22"/>
              </w:rPr>
              <w:t>Jul 28, 2026</w:t>
            </w:r>
          </w:p>
        </w:tc>
        <w:tc>
          <w:tcPr>
            <w:tcW w:type="dxa" w:w="2160"/>
          </w:tcPr>
          <w:p>
            <w:r>
              <w:rPr>
                <w:rFonts w:ascii="Calibri" w:hAnsi="Calibri"/>
                <w:sz w:val="22"/>
              </w:rPr>
              <w:t>Guidance raised despite flat underlying demand; execution-driven beat; no meaningful demand improvement</w:t>
            </w:r>
          </w:p>
        </w:tc>
        <w:tc>
          <w:tcPr>
            <w:tcW w:type="dxa" w:w="2160"/>
          </w:tcPr>
          <w:p>
            <w:r>
              <w:rPr>
                <w:rFonts w:ascii="Calibri" w:hAnsi="Calibri"/>
                <w:b/>
                <w:color w:val="30A46C"/>
                <w:sz w:val="22"/>
              </w:rPr>
              <w:t>Neutral-Positive</w:t>
            </w:r>
          </w:p>
        </w:tc>
      </w:tr>
      <w:tr>
        <w:tc>
          <w:tcPr>
            <w:tcW w:type="dxa" w:w="2160"/>
          </w:tcPr>
          <w:p>
            <w:r>
              <w:rPr>
                <w:rFonts w:ascii="Calibri" w:hAnsi="Calibri"/>
                <w:sz w:val="22"/>
              </w:rPr>
              <w:t>Dow Inc. (DOW)</w:t>
            </w:r>
          </w:p>
        </w:tc>
        <w:tc>
          <w:tcPr>
            <w:tcW w:type="dxa" w:w="2160"/>
          </w:tcPr>
          <w:p>
            <w:r>
              <w:rPr>
                <w:rFonts w:ascii="Calibri" w:hAnsi="Calibri"/>
                <w:sz w:val="22"/>
              </w:rPr>
              <w:t>Jul 23, 2026</w:t>
            </w:r>
          </w:p>
        </w:tc>
        <w:tc>
          <w:tcPr>
            <w:tcW w:type="dxa" w:w="2160"/>
          </w:tcPr>
          <w:p>
            <w:r>
              <w:rPr>
                <w:rFonts w:ascii="Calibri" w:hAnsi="Calibri"/>
                <w:sz w:val="22"/>
              </w:rPr>
              <w:t>U.S. housing weak (affordability/rates); data center demand robust; Q3 EBITDA guide below Street</w:t>
            </w:r>
          </w:p>
        </w:tc>
        <w:tc>
          <w:tcPr>
            <w:tcW w:type="dxa" w:w="2160"/>
          </w:tcPr>
          <w:p>
            <w:r>
              <w:rPr>
                <w:rFonts w:ascii="Calibri" w:hAnsi="Calibri"/>
                <w:b/>
                <w:color w:val="002FA7"/>
                <w:sz w:val="22"/>
              </w:rPr>
              <w:t>Neutral</w:t>
            </w:r>
          </w:p>
        </w:tc>
      </w:tr>
    </w:tbl>
    <w:p>
      <w:r>
        <w:br w:type="page"/>
      </w:r>
    </w:p>
    <w:p>
      <w:pPr>
        <w:pStyle w:val="Heading1"/>
        <w:pBdr>
          <w:bottom w:val="single" w:sz="4" w:space="1" w:color="FB9120"/>
        </w:pBdr>
      </w:pPr>
      <w:r>
        <w:rPr>
          <w:rFonts w:ascii="Calibri" w:hAnsi="Calibri"/>
          <w:b/>
          <w:color w:val="3B4259"/>
          <w:sz w:val="40"/>
        </w:rPr>
        <w:t>9. Risks &amp; Key Questions for Management</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 xml:space="preserve">Arcosa deal execution risk: </w:t>
      </w:r>
      <w:r>
        <w:rPr>
          <w:rFonts w:ascii="Calibri" w:hAnsi="Calibri"/>
          <w:color w:val="525866"/>
          <w:sz w:val="22"/>
        </w:rPr>
        <w:t>HSR antitrust clearance pending; Arcosa stockholder vote required; $3.25B bridge facility still needs to be termed out. Any delay or complication could weigh on the stock.</w:t>
      </w:r>
    </w:p>
    <w:p>
      <w:pPr>
        <w:pStyle w:val="ListBullet"/>
        <w:ind w:left="360" w:hanging="360"/>
      </w:pPr>
      <w:r>
        <w:rPr>
          <w:rFonts w:ascii="Calibri" w:hAnsi="Calibri"/>
          <w:b/>
          <w:color w:val="525866"/>
          <w:sz w:val="22"/>
        </w:rPr>
        <w:t xml:space="preserve">Leverage / balance sheet: </w:t>
      </w:r>
      <w:r>
        <w:rPr>
          <w:rFonts w:ascii="Calibri" w:hAnsi="Calibri"/>
          <w:color w:val="525866"/>
          <w:sz w:val="22"/>
        </w:rPr>
        <w:t>The Arcosa deal will materially increase net debt. Buyback suspended. Investors will scrutinize the leverage trajectory and timeline to return to target leverage ratios.</w:t>
      </w:r>
    </w:p>
    <w:p>
      <w:pPr>
        <w:pStyle w:val="ListBullet"/>
        <w:ind w:left="360" w:hanging="360"/>
      </w:pPr>
      <w:r>
        <w:rPr>
          <w:rFonts w:ascii="Calibri" w:hAnsi="Calibri"/>
          <w:b/>
          <w:color w:val="525866"/>
          <w:sz w:val="22"/>
        </w:rPr>
        <w:t xml:space="preserve">Weather headwinds in Q2: </w:t>
      </w:r>
      <w:r>
        <w:rPr>
          <w:rFonts w:ascii="Calibri" w:hAnsi="Calibri"/>
          <w:color w:val="525866"/>
          <w:sz w:val="22"/>
        </w:rPr>
        <w:t>Peers (VMC, CX) flagged wet weather in Texas and the Southeast as a volume headwind in Q2. CRH has significant exposure to these geographies through its Americas Materials division.</w:t>
      </w:r>
    </w:p>
    <w:p>
      <w:pPr>
        <w:pStyle w:val="ListBullet"/>
        <w:ind w:left="360" w:hanging="360"/>
      </w:pPr>
      <w:r>
        <w:rPr>
          <w:rFonts w:ascii="Calibri" w:hAnsi="Calibri"/>
          <w:b/>
          <w:color w:val="525866"/>
          <w:sz w:val="22"/>
        </w:rPr>
        <w:t xml:space="preserve">European softness: </w:t>
      </w:r>
      <w:r>
        <w:rPr>
          <w:rFonts w:ascii="Calibri" w:hAnsi="Calibri"/>
          <w:color w:val="525866"/>
          <w:sz w:val="22"/>
        </w:rPr>
        <w:t>Cemex flagged heat waves, project delays, and tepid residential in Europe. CRH’s International division (Europe and Australia) could face similar headwinds.</w:t>
      </w:r>
    </w:p>
    <w:p>
      <w:pPr>
        <w:pStyle w:val="ListBullet"/>
        <w:ind w:left="360" w:hanging="360"/>
      </w:pPr>
      <w:r>
        <w:rPr>
          <w:rFonts w:ascii="Calibri" w:hAnsi="Calibri"/>
          <w:b/>
          <w:color w:val="525866"/>
          <w:sz w:val="22"/>
        </w:rPr>
        <w:t xml:space="preserve">Freight / energy cost inflation: </w:t>
      </w:r>
      <w:r>
        <w:rPr>
          <w:rFonts w:ascii="Calibri" w:hAnsi="Calibri"/>
          <w:color w:val="525866"/>
          <w:sz w:val="22"/>
        </w:rPr>
        <w:t>Eagle Materials flagged elevated freight rates as a headwind on net cement pricing. Iran-related geopolitical tensions have pushed diesel prices higher (national average diesel ~$5.13/gallon as of late July), which could pressure CRH’s transportation and asphalt costs.</w:t>
      </w:r>
    </w:p>
    <w:p>
      <w:pPr>
        <w:pStyle w:val="ListBullet"/>
        <w:ind w:left="360" w:hanging="360"/>
      </w:pPr>
      <w:r>
        <w:rPr>
          <w:rFonts w:ascii="Calibri" w:hAnsi="Calibri"/>
          <w:b/>
          <w:color w:val="525866"/>
          <w:sz w:val="22"/>
        </w:rPr>
        <w:t xml:space="preserve">Highway bill reauthorization uncertainty: </w:t>
      </w:r>
      <w:r>
        <w:rPr>
          <w:rFonts w:ascii="Calibri" w:hAnsi="Calibri"/>
          <w:color w:val="525866"/>
          <w:sz w:val="22"/>
        </w:rPr>
        <w:t>While management expressed confidence in a multi-year reauthorization, a continuing resolution scenario (now the base case per VMC) could create near-term uncertainty on federal spending levels.</w:t>
      </w:r>
    </w:p>
    <w:p>
      <w:pPr>
        <w:pStyle w:val="ListBullet"/>
        <w:ind w:left="360" w:hanging="360"/>
      </w:pPr>
      <w:r>
        <w:rPr>
          <w:rFonts w:ascii="Calibri" w:hAnsi="Calibri"/>
          <w:b/>
          <w:color w:val="525866"/>
          <w:sz w:val="22"/>
        </w:rPr>
        <w:t xml:space="preserve">Residential market: </w:t>
      </w:r>
      <w:r>
        <w:rPr>
          <w:rFonts w:ascii="Calibri" w:hAnsi="Calibri"/>
          <w:color w:val="525866"/>
          <w:sz w:val="22"/>
        </w:rPr>
        <w:t>U.S. new-build activity remains subdued (mortgage rates still above 6%); no near-term catalyst for recovery. Affects CRH’s Americas Solutions (Outdoor Living) and International segments.</w:t>
      </w:r>
    </w:p>
    <w:p>
      <w:pPr>
        <w:pStyle w:val="ListBullet"/>
        <w:ind w:left="360" w:hanging="360"/>
      </w:pPr>
      <w:r>
        <w:rPr>
          <w:rFonts w:ascii="Calibri" w:hAnsi="Calibri"/>
          <w:b/>
          <w:color w:val="525866"/>
          <w:sz w:val="22"/>
        </w:rPr>
        <w:t xml:space="preserve">New CFO transition: </w:t>
      </w:r>
      <w:r>
        <w:rPr>
          <w:rFonts w:ascii="Calibri" w:hAnsi="Calibri"/>
          <w:color w:val="525866"/>
          <w:sz w:val="22"/>
        </w:rPr>
        <w:t>Aylwyn Bryan is new to the CFO role (effective May 12); this is his first earnings call as CFO. While an internal promotion reduces risk, investors may probe his views on capital allocation and Arcosa integration.</w:t>
      </w:r>
    </w:p>
    <w:p>
      <w:pPr>
        <w:pStyle w:val="Heading2"/>
      </w:pPr>
      <w:r>
        <w:rPr>
          <w:rFonts w:ascii="Calibri" w:hAnsi="Calibri"/>
          <w:b/>
          <w:color w:val="3B4259"/>
          <w:sz w:val="28"/>
        </w:rPr>
        <w:t>Key Questions for Management</w:t>
      </w:r>
    </w:p>
    <w:p>
      <w:pPr>
        <w:pStyle w:val="ListNumber"/>
        <w:ind w:left="360" w:hanging="360"/>
      </w:pPr>
      <w:r>
        <w:rPr>
          <w:rFonts w:ascii="Calibri" w:hAnsi="Calibri"/>
          <w:b/>
          <w:color w:val="525866"/>
          <w:sz w:val="22"/>
        </w:rPr>
        <w:t xml:space="preserve">Arcosa synergies and accretion: </w:t>
      </w:r>
      <w:r>
        <w:rPr>
          <w:rFonts w:ascii="Calibri" w:hAnsi="Calibri"/>
          <w:color w:val="525866"/>
          <w:sz w:val="22"/>
        </w:rPr>
        <w:t>Can management provide a synergy framework and accretion timeline for the Arcosa deal? What is the expected leverage ratio at close and the path back to target?</w:t>
      </w:r>
    </w:p>
    <w:p>
      <w:pPr>
        <w:pStyle w:val="ListNumber"/>
        <w:ind w:left="360" w:hanging="360"/>
      </w:pPr>
      <w:r>
        <w:rPr>
          <w:rFonts w:ascii="Calibri" w:hAnsi="Calibri"/>
          <w:b/>
          <w:color w:val="525866"/>
          <w:sz w:val="22"/>
        </w:rPr>
        <w:t xml:space="preserve">FY 2026 guidance: </w:t>
      </w:r>
      <w:r>
        <w:rPr>
          <w:rFonts w:ascii="Calibri" w:hAnsi="Calibri"/>
          <w:color w:val="525866"/>
          <w:sz w:val="22"/>
        </w:rPr>
        <w:t>Will management raise the $8.1–$8.5B EBITDA guidance range given Q1 beat and strong infrastructure demand? Or does Arcosa deal uncertainty preclude a raise?</w:t>
      </w:r>
    </w:p>
    <w:p>
      <w:pPr>
        <w:pStyle w:val="ListNumber"/>
        <w:ind w:left="360" w:hanging="360"/>
      </w:pPr>
      <w:r>
        <w:rPr>
          <w:rFonts w:ascii="Calibri" w:hAnsi="Calibri"/>
          <w:b/>
          <w:color w:val="525866"/>
          <w:sz w:val="22"/>
        </w:rPr>
        <w:t xml:space="preserve">Q2 weather impact: </w:t>
      </w:r>
      <w:r>
        <w:rPr>
          <w:rFonts w:ascii="Calibri" w:hAnsi="Calibri"/>
          <w:color w:val="525866"/>
          <w:sz w:val="22"/>
        </w:rPr>
        <w:t>How much did wet weather in Texas and the Southeast impact Q2 volumes and margins? Is there any catch-up expected in Q3?</w:t>
      </w:r>
    </w:p>
    <w:p>
      <w:pPr>
        <w:pStyle w:val="ListNumber"/>
        <w:ind w:left="360" w:hanging="360"/>
      </w:pPr>
      <w:r>
        <w:rPr>
          <w:rFonts w:ascii="Calibri" w:hAnsi="Calibri"/>
          <w:b/>
          <w:color w:val="525866"/>
          <w:sz w:val="22"/>
        </w:rPr>
        <w:t xml:space="preserve">Aggregates pricing momentum: </w:t>
      </w:r>
      <w:r>
        <w:rPr>
          <w:rFonts w:ascii="Calibri" w:hAnsi="Calibri"/>
          <w:color w:val="525866"/>
          <w:sz w:val="22"/>
        </w:rPr>
        <w:t>Did the +5% mix-adjusted pricing from Q1 carry into Q2? Are mid-year price increases tracking to plan?</w:t>
      </w:r>
    </w:p>
    <w:p>
      <w:pPr>
        <w:pStyle w:val="ListNumber"/>
        <w:ind w:left="360" w:hanging="360"/>
      </w:pPr>
      <w:r>
        <w:rPr>
          <w:rFonts w:ascii="Calibri" w:hAnsi="Calibri"/>
          <w:b/>
          <w:color w:val="525866"/>
          <w:sz w:val="22"/>
        </w:rPr>
        <w:t xml:space="preserve">Buyback resumption: </w:t>
      </w:r>
      <w:r>
        <w:rPr>
          <w:rFonts w:ascii="Calibri" w:hAnsi="Calibri"/>
          <w:color w:val="525866"/>
          <w:sz w:val="22"/>
        </w:rPr>
        <w:t>When does management expect to resume the share buyback program? What are the conditions (deal close, leverage target)?</w:t>
      </w:r>
    </w:p>
    <w:p>
      <w:pPr>
        <w:pStyle w:val="ListNumber"/>
        <w:ind w:left="360" w:hanging="360"/>
      </w:pPr>
      <w:r>
        <w:rPr>
          <w:rFonts w:ascii="Calibri" w:hAnsi="Calibri"/>
          <w:b/>
          <w:color w:val="525866"/>
          <w:sz w:val="22"/>
        </w:rPr>
        <w:t xml:space="preserve">European outlook: </w:t>
      </w:r>
      <w:r>
        <w:rPr>
          <w:rFonts w:ascii="Calibri" w:hAnsi="Calibri"/>
          <w:color w:val="525866"/>
          <w:sz w:val="22"/>
        </w:rPr>
        <w:t>How is the International division performing given European heat waves and project delays flagged by Cemex? Is the mid-single digit pricing target for International still achievable?</w:t>
      </w:r>
    </w:p>
    <w:p>
      <w:pPr>
        <w:pStyle w:val="ListNumber"/>
        <w:ind w:left="360" w:hanging="360"/>
      </w:pPr>
      <w:r>
        <w:rPr>
          <w:rFonts w:ascii="Calibri" w:hAnsi="Calibri"/>
          <w:b/>
          <w:color w:val="525866"/>
          <w:sz w:val="22"/>
        </w:rPr>
        <w:t xml:space="preserve">Highway bill reauthorization: </w:t>
      </w:r>
      <w:r>
        <w:rPr>
          <w:rFonts w:ascii="Calibri" w:hAnsi="Calibri"/>
          <w:color w:val="525866"/>
          <w:sz w:val="22"/>
        </w:rPr>
        <w:t>What is management’s latest read on the Build America 250 Act timeline? How does a continuing resolution scenario affect CRH’s 2026 and 2027 volume outlook?</w:t>
      </w:r>
    </w:p>
    <w:p>
      <w:pPr>
        <w:pStyle w:val="ListNumber"/>
        <w:ind w:left="360" w:hanging="360"/>
      </w:pPr>
      <w:r>
        <w:rPr>
          <w:rFonts w:ascii="Calibri" w:hAnsi="Calibri"/>
          <w:b/>
          <w:color w:val="525866"/>
          <w:sz w:val="22"/>
        </w:rPr>
        <w:t xml:space="preserve">Data center pipeline: </w:t>
      </w:r>
      <w:r>
        <w:rPr>
          <w:rFonts w:ascii="Calibri" w:hAnsi="Calibri"/>
          <w:color w:val="525866"/>
          <w:sz w:val="22"/>
        </w:rPr>
        <w:t>Can management quantify the data center contribution to volumes and revenue in Q2? How does the pipeline look for H2 2026 and 2027?</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