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sgp-earnings-predictions--2026-07-28"/>
    <w:p>
      <w:pPr>
        <w:pStyle w:val="Heading1"/>
      </w:pPr>
      <w:r>
        <w:t xml:space="preserve">CSGP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~$935M vs. cons $929M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Residential Adjusted EBITDA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8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5M (guide range breakeven-$10M)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~$0.30 vs. cons $0.28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~$3.80B vs. cons $3.80B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~$805M vs. cons $790M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~$955M vs. cons $948M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Residential Adjusted EBITDA Trajectory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15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35M vs. cons ~$5M (FY2026, implying accelerating profitability into H2)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CSGP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(STABILIZE)</w:t>
            </w:r>
          </w:p>
        </w:tc>
        <w:tc>
          <w:tcPr/>
          <w:p>
            <w:pPr>
              <w:pStyle w:val="Compact"/>
            </w:pPr>
            <w:r>
              <w:t xml:space="preserve">A likely beat on revenue/EPS plus Residential EBITDA crossing into positive territory (a key psychological milestone after years of losses) should spark short-covering in a stock down ~58-59% YTD, driving an initial pop. But the new CFO's first public commentary, unresolved Homes.com ROI skepticism versus Zillow, and the pending $800M Zonda cash outlay temper follow-through: sell-side (Baird/RBC, targets already cut to $34) will likely wait for Rossmann's cost-discipline execution before upgrading estimates meaningfully, capping incremental re-rating. Net effect is an initial gap that mostly holds through day 5 rather than extending sharply higher or fully reversing, since out-period estimate revisions are constrained by lingering uncertainty on Residential monetization pace and integration costs from Zonda even as headline numbers beat.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2026-07-28T01:20:32Z</dcterms:created>
  <dcterms:modified xsi:type="dcterms:W3CDTF">2026-07-28T01:20:32Z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