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f7806b8057c582976c438ab113d2a1f00801b0"/>
    <w:p>
      <w:pPr>
        <w:pStyle w:val="Heading1"/>
      </w:pPr>
      <w:r>
        <w:t xml:space="preserve">CoStar Group (CSGP) Q2 2026 Earnings Preview</w:t>
      </w:r>
    </w:p>
    <w:p>
      <w:pPr>
        <w:pStyle w:val="BlockText"/>
      </w:pPr>
      <w:r>
        <w:rPr>
          <w:b/>
          <w:bCs/>
        </w:rPr>
        <w:t xml:space="preserve">Timing correction:</w:t>
      </w:r>
      <w:r>
        <w:t xml:space="preserve"> </w:t>
      </w:r>
      <w:r>
        <w:t xml:space="preserve">CoStar is scheduled to report</w:t>
      </w:r>
      <w:r>
        <w:t xml:space="preserve"> </w:t>
      </w:r>
      <w:r>
        <w:rPr>
          <w:b/>
          <w:bCs/>
        </w:rPr>
        <w:t xml:space="preserve">after the market closes today, Tuesday, July 28, 2026</w:t>
      </w:r>
      <w:r>
        <w:t xml:space="preserve">, with the earnings call at</w:t>
      </w:r>
      <w:r>
        <w:t xml:space="preserve"> </w:t>
      </w:r>
      <w:r>
        <w:rPr>
          <w:b/>
          <w:bCs/>
        </w:rPr>
        <w:t xml:space="preserve">5:00 p.m. EDT</w:t>
      </w:r>
      <w:r>
        <w:t xml:space="preserve">—not tomorrow, July 29. (</w:t>
      </w:r>
      <w:hyperlink r:id="rId9">
        <w:r>
          <w:rPr>
            <w:rStyle w:val="Hyperlink"/>
          </w:rPr>
          <w:t xml:space="preserve">investors.costargroup.com</w:t>
        </w:r>
      </w:hyperlink>
      <w:r>
        <w:t xml:space="preserve">)</w:t>
      </w:r>
    </w:p>
    <w:bookmarkStart w:id="13" w:name="the-setup"/>
    <w:p>
      <w:pPr>
        <w:pStyle w:val="Heading2"/>
      </w:pPr>
      <w:r>
        <w:t xml:space="preserve">The setup</w:t>
      </w:r>
    </w:p>
    <w:p>
      <w:pPr>
        <w:pStyle w:val="FirstParagraph"/>
      </w:pPr>
      <w:r>
        <w:t xml:space="preserve">CSGP enters the report with a heavily reset valuation and a correspondingly low bar for sentiment—but not necessarily for operating performance. The shares closed July 28 at approximately</w:t>
      </w:r>
      <w:r>
        <w:t xml:space="preserve"> </w:t>
      </w:r>
      <w:r>
        <w:rPr>
          <w:b/>
          <w:bCs/>
        </w:rPr>
        <w:t xml:space="preserve">$29.17</w:t>
      </w:r>
      <w:r>
        <w:t xml:space="preserve">, roughly</w:t>
      </w:r>
      <w:r>
        <w:t xml:space="preserve"> </w:t>
      </w:r>
      <w:r>
        <w:rPr>
          <w:b/>
          <w:bCs/>
        </w:rPr>
        <w:t xml:space="preserve">56% below</w:t>
      </w:r>
      <w:r>
        <w:t xml:space="preserve"> </w:t>
      </w:r>
      <w:r>
        <w:t xml:space="preserve">their January 2 close. Moreover, the stock declined after each of the prior three earnings announcements despite adjusted-EPS beats, suggesting investors care much more about bookings, Homes.com economics, and forward margin credibility than a modest headline beat. (</w:t>
      </w:r>
      <w:hyperlink r:id="rId10">
        <w:r>
          <w:rPr>
            <w:rStyle w:val="Hyperlink"/>
          </w:rPr>
          <w:t xml:space="preserve">marketbeat.com</w:t>
        </w:r>
      </w:hyperlink>
      <w:r>
        <w:t xml:space="preserve">)</w:t>
      </w:r>
    </w:p>
    <w:bookmarkStart w:id="12" w:name="published-q2-expectations"/>
    <w:p>
      <w:pPr>
        <w:pStyle w:val="Heading3"/>
      </w:pPr>
      <w:r>
        <w:t xml:space="preserve">Published Q2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Company guidance</w:t>
            </w:r>
          </w:p>
        </w:tc>
        <w:tc>
          <w:tcPr/>
          <w:p>
            <w:pPr>
              <w:pStyle w:val="Compact"/>
              <w:jc w:val="right"/>
            </w:pPr>
            <w:r>
              <w:t xml:space="preserve">Published consensus</w:t>
            </w:r>
          </w:p>
        </w:tc>
      </w:tr>
      <w:tr>
        <w:tc>
          <w:tcPr/>
          <w:p>
            <w:pPr>
              <w:pStyle w:val="Compact"/>
            </w:pPr>
            <w:r>
              <w:t xml:space="preserve">Revenue</w:t>
            </w:r>
          </w:p>
        </w:tc>
        <w:tc>
          <w:tcPr/>
          <w:p>
            <w:pPr>
              <w:pStyle w:val="Compact"/>
              <w:jc w:val="right"/>
            </w:pPr>
            <m:oMath>
              <m:r>
                <m:t>922</m:t>
              </m:r>
              <m:r>
                <m:t>M</m:t>
              </m:r>
              <m:r>
                <m:rPr>
                  <m:sty m:val="p"/>
                </m:rPr>
                <m:t>–</m:t>
              </m:r>
            </m:oMath>
            <w:r>
              <w:rPr>
                <w:b/>
                <w:bCs/>
              </w:rPr>
              <w:t xml:space="preserve">932M</w:t>
            </w:r>
          </w:p>
        </w:tc>
        <w:tc>
          <w:tcPr/>
          <w:p>
            <w:pPr>
              <w:pStyle w:val="Compact"/>
              <w:jc w:val="right"/>
            </w:pPr>
            <w:r>
              <w:t xml:space="preserve">Approximately</w:t>
            </w:r>
            <w:r>
              <w:t xml:space="preserve"> </w:t>
            </w:r>
            <w:r>
              <w:rPr>
                <w:b/>
                <w:bCs/>
              </w:rPr>
              <w:t xml:space="preserve">$929M</w:t>
            </w:r>
          </w:p>
        </w:tc>
      </w:tr>
      <w:tr>
        <w:tc>
          <w:tcPr/>
          <w:p>
            <w:pPr>
              <w:pStyle w:val="Compact"/>
            </w:pPr>
            <w:r>
              <w:t xml:space="preserve">Adjusted EBITDA</w:t>
            </w:r>
          </w:p>
        </w:tc>
        <w:tc>
          <w:tcPr/>
          <w:p>
            <w:pPr>
              <w:pStyle w:val="Compact"/>
              <w:jc w:val="right"/>
            </w:pPr>
            <m:oMath>
              <m:r>
                <m:t>160</m:t>
              </m:r>
              <m:r>
                <m:t>M</m:t>
              </m:r>
              <m:r>
                <m:rPr>
                  <m:sty m:val="p"/>
                </m:rPr>
                <m:t>–</m:t>
              </m:r>
            </m:oMath>
            <w:r>
              <w:rPr>
                <w:b/>
                <w:bCs/>
              </w:rPr>
              <w:t xml:space="preserve">180M</w:t>
            </w:r>
          </w:p>
        </w:tc>
        <w:tc>
          <w:tcPr/>
          <w:p>
            <w:pPr>
              <w:pStyle w:val="Compact"/>
              <w:jc w:val="right"/>
            </w:pPr>
            <w:r>
              <w:t xml:space="preserve">—</w:t>
            </w:r>
          </w:p>
        </w:tc>
      </w:tr>
      <w:tr>
        <w:tc>
          <w:tcPr/>
          <w:p>
            <w:pPr>
              <w:pStyle w:val="Compact"/>
            </w:pPr>
            <w:r>
              <w:t xml:space="preserve">Adjusted EPS</w:t>
            </w:r>
          </w:p>
        </w:tc>
        <w:tc>
          <w:tcPr/>
          <w:p>
            <w:pPr>
              <w:pStyle w:val="Compact"/>
              <w:jc w:val="right"/>
            </w:pPr>
            <m:oMath>
              <m:r>
                <m:t>0.27</m:t>
              </m:r>
              <m:r>
                <m:rPr>
                  <m:sty m:val="p"/>
                </m:rPr>
                <m:t>–</m:t>
              </m:r>
            </m:oMath>
            <w:r>
              <w:rPr>
                <w:b/>
                <w:bCs/>
              </w:rPr>
              <w:t xml:space="preserve">0.30</w:t>
            </w:r>
          </w:p>
        </w:tc>
        <w:tc>
          <w:tcPr/>
          <w:p>
            <w:pPr>
              <w:pStyle w:val="Compact"/>
              <w:jc w:val="right"/>
            </w:pPr>
            <w:r>
              <w:t xml:space="preserve">Approximately</w:t>
            </w:r>
            <w:r>
              <w:t xml:space="preserve"> </w:t>
            </w:r>
            <m:oMath>
              <m:r>
                <m:t>0.28</m:t>
              </m:r>
              <m:r>
                <m:rPr>
                  <m:sty m:val="p"/>
                </m:rPr>
                <m:t>–</m:t>
              </m:r>
            </m:oMath>
            <w:r>
              <w:rPr>
                <w:b/>
                <w:bCs/>
              </w:rPr>
              <w:t xml:space="preserve">0.29</w:t>
            </w:r>
          </w:p>
        </w:tc>
      </w:tr>
      <w:tr>
        <w:tc>
          <w:tcPr/>
          <w:p>
            <w:pPr>
              <w:pStyle w:val="Compact"/>
            </w:pPr>
            <w:r>
              <w:t xml:space="preserve">Commercial revenue</w:t>
            </w:r>
          </w:p>
        </w:tc>
        <w:tc>
          <w:tcPr/>
          <w:p>
            <w:pPr>
              <w:pStyle w:val="Compact"/>
              <w:jc w:val="right"/>
            </w:pPr>
            <m:oMath>
              <m:r>
                <m:t>479</m:t>
              </m:r>
              <m:r>
                <m:t>M</m:t>
              </m:r>
              <m:r>
                <m:rPr>
                  <m:sty m:val="p"/>
                </m:rPr>
                <m:t>–</m:t>
              </m:r>
            </m:oMath>
            <w:r>
              <w:rPr>
                <w:b/>
                <w:bCs/>
              </w:rPr>
              <w:t xml:space="preserve">484M</w:t>
            </w:r>
          </w:p>
        </w:tc>
        <w:tc>
          <w:tcPr/>
          <w:p>
            <w:pPr>
              <w:pStyle w:val="Compact"/>
              <w:jc w:val="right"/>
            </w:pPr>
            <w:r>
              <w:t xml:space="preserve">—</w:t>
            </w:r>
          </w:p>
        </w:tc>
      </w:tr>
      <w:tr>
        <w:tc>
          <w:tcPr/>
          <w:p>
            <w:pPr>
              <w:pStyle w:val="Compact"/>
            </w:pPr>
            <w:r>
              <w:t xml:space="preserve">Residential revenue</w:t>
            </w:r>
          </w:p>
        </w:tc>
        <w:tc>
          <w:tcPr/>
          <w:p>
            <w:pPr>
              <w:pStyle w:val="Compact"/>
              <w:jc w:val="right"/>
            </w:pPr>
            <m:oMath>
              <m:r>
                <m:t>443</m:t>
              </m:r>
              <m:r>
                <m:t>M</m:t>
              </m:r>
              <m:r>
                <m:rPr>
                  <m:sty m:val="p"/>
                </m:rPr>
                <m:t>–</m:t>
              </m:r>
            </m:oMath>
            <w:r>
              <w:rPr>
                <w:b/>
                <w:bCs/>
              </w:rPr>
              <w:t xml:space="preserve">448M</w:t>
            </w:r>
          </w:p>
        </w:tc>
        <w:tc>
          <w:tcPr/>
          <w:p>
            <w:pPr>
              <w:pStyle w:val="Compact"/>
              <w:jc w:val="right"/>
            </w:pPr>
            <w:r>
              <w:t xml:space="preserve">—</w:t>
            </w:r>
          </w:p>
        </w:tc>
      </w:tr>
      <w:tr>
        <w:tc>
          <w:tcPr/>
          <w:p>
            <w:pPr>
              <w:pStyle w:val="Compact"/>
            </w:pPr>
            <w:r>
              <w:t xml:space="preserve">Residential adjusted EBITDA</w:t>
            </w:r>
          </w:p>
        </w:tc>
        <w:tc>
          <w:tcPr/>
          <w:p>
            <w:pPr>
              <w:pStyle w:val="Compact"/>
              <w:jc w:val="right"/>
            </w:pPr>
            <m:oMath>
              <m:r>
                <m:t>0</m:t>
              </m:r>
              <m:r>
                <m:t>M</m:t>
              </m:r>
              <m:r>
                <m:rPr>
                  <m:sty m:val="p"/>
                </m:rPr>
                <m:t>–</m:t>
              </m:r>
            </m:oMath>
            <w:r>
              <w:rPr>
                <w:b/>
                <w:bCs/>
              </w:rPr>
              <w:t xml:space="preserve">10M</w:t>
            </w:r>
          </w:p>
        </w:tc>
        <w:tc>
          <w:tcPr/>
          <w:p>
            <w:pPr>
              <w:pStyle w:val="Compact"/>
              <w:jc w:val="right"/>
            </w:pPr>
            <w:r>
              <w:t xml:space="preserve">—</w:t>
            </w:r>
          </w:p>
        </w:tc>
      </w:tr>
    </w:tbl>
    <w:p>
      <w:pPr>
        <w:pStyle w:val="BodyText"/>
      </w:pPr>
      <w:r>
        <w:t xml:space="preserve">Consensus figures vary slightly by data provider and by EPS definition, but they sit near the midpoint of management’s ranges. (</w:t>
      </w:r>
      <w:hyperlink r:id="rId11">
        <w:r>
          <w:rPr>
            <w:rStyle w:val="Hyperlink"/>
          </w:rPr>
          <w:t xml:space="preserve">investors.costargroup.com</w:t>
        </w:r>
      </w:hyperlink>
      <w:r>
        <w:t xml:space="preserve">)</w:t>
      </w:r>
    </w:p>
    <w:bookmarkEnd w:id="12"/>
    <w:bookmarkEnd w:id="13"/>
    <w:bookmarkStart w:id="21" w:name="what-matters-most"/>
    <w:p>
      <w:pPr>
        <w:pStyle w:val="Heading2"/>
      </w:pPr>
      <w:r>
        <w:t xml:space="preserve">What matters most</w:t>
      </w:r>
    </w:p>
    <w:bookmarkStart w:id="14" w:name="Xc6191eb6d242b499f24ddf83a64698ec0c22393"/>
    <w:p>
      <w:pPr>
        <w:pStyle w:val="Heading3"/>
      </w:pPr>
      <w:r>
        <w:t xml:space="preserve">1. Bookings and sales productivity are the central debate</w:t>
      </w:r>
    </w:p>
    <w:p>
      <w:pPr>
        <w:pStyle w:val="FirstParagraph"/>
      </w:pPr>
      <w:r>
        <w:t xml:space="preserve">Q1 annualized net new bookings were</w:t>
      </w:r>
      <w:r>
        <w:t xml:space="preserve"> </w:t>
      </w:r>
      <w:r>
        <w:rPr>
          <w:b/>
          <w:bCs/>
        </w:rPr>
        <w:t xml:space="preserve">$67 million</w:t>
      </w:r>
      <w:r>
        <w:t xml:space="preserve">, up 20% year over year, but investors focused on the sequential decline and the productivity of CoStar’s expanded sales organization. Management declined to guide bookings but described Q2 as typically its strongest bookings quarter, helped by the Apartmentalize conference and the maturation of sales hires made during 2025.</w:t>
      </w:r>
    </w:p>
    <w:p>
      <w:pPr>
        <w:pStyle w:val="BodyText"/>
      </w:pPr>
      <w:r>
        <w:t xml:space="preserve">The most important number in this report may therefore be</w:t>
      </w:r>
      <w:r>
        <w:t xml:space="preserve"> </w:t>
      </w:r>
      <w:r>
        <w:rPr>
          <w:b/>
          <w:bCs/>
        </w:rPr>
        <w:t xml:space="preserve">net new bookings</w:t>
      </w:r>
      <w:r>
        <w:t xml:space="preserve">, not EPS.</w:t>
      </w:r>
    </w:p>
    <w:p>
      <w:pPr>
        <w:pStyle w:val="BodyText"/>
      </w:pPr>
      <w:r>
        <w:t xml:space="preserve">A constructive result would likely require:</w:t>
      </w:r>
    </w:p>
    <w:p>
      <w:pPr>
        <w:pStyle w:val="Compact"/>
        <w:numPr>
          <w:ilvl w:val="0"/>
          <w:numId w:val="1001"/>
        </w:numPr>
      </w:pPr>
      <w:r>
        <w:t xml:space="preserve">Clear sequential improvement from Q1’s $67 million.</w:t>
      </w:r>
    </w:p>
    <w:p>
      <w:pPr>
        <w:pStyle w:val="Compact"/>
        <w:numPr>
          <w:ilvl w:val="0"/>
          <w:numId w:val="1001"/>
        </w:numPr>
      </w:pPr>
      <w:r>
        <w:t xml:space="preserve">Evidence that the large Homes.com sales force is becoming more productive.</w:t>
      </w:r>
    </w:p>
    <w:p>
      <w:pPr>
        <w:pStyle w:val="Compact"/>
        <w:numPr>
          <w:ilvl w:val="0"/>
          <w:numId w:val="1001"/>
        </w:numPr>
      </w:pPr>
      <w:r>
        <w:t xml:space="preserve">Continued strength in core CoStar, LoopNet and Apartments.com bookings.</w:t>
      </w:r>
    </w:p>
    <w:p>
      <w:pPr>
        <w:pStyle w:val="Compact"/>
        <w:numPr>
          <w:ilvl w:val="0"/>
          <w:numId w:val="1001"/>
        </w:numPr>
      </w:pPr>
      <w:r>
        <w:t xml:space="preserve">Management confidence that sales productivity will improve further in the second half.</w:t>
      </w:r>
    </w:p>
    <w:p>
      <w:pPr>
        <w:pStyle w:val="FirstParagraph"/>
      </w:pPr>
      <w:r>
        <w:t xml:space="preserve">A revenue or EPS beat accompanied by soft bookings could still be received negatively because bookings are the bridge to management’s longer-term growth framework.</w:t>
      </w:r>
    </w:p>
    <w:bookmarkEnd w:id="14"/>
    <w:bookmarkStart w:id="15" w:name="X71539ce13aef4a2c1ea03f3e9899bfd9797a1e2"/>
    <w:p>
      <w:pPr>
        <w:pStyle w:val="Heading3"/>
      </w:pPr>
      <w:r>
        <w:t xml:space="preserve">2. Residential profitability must become real</w:t>
      </w:r>
    </w:p>
    <w:p>
      <w:pPr>
        <w:pStyle w:val="FirstParagraph"/>
      </w:pPr>
      <w:r>
        <w:t xml:space="preserve">Management guided the Residential segment to produce</w:t>
      </w:r>
      <w:r>
        <w:t xml:space="preserve"> </w:t>
      </w:r>
      <w:r>
        <w:rPr>
          <w:b/>
          <w:bCs/>
        </w:rPr>
        <w:t xml:space="preserve">breakeven to</w:t>
      </w:r>
      <w:r>
        <w:rPr>
          <w:b/>
          <w:bCs/>
        </w:rPr>
        <w:t xml:space="preserve"> </w:t>
      </w:r>
      <m:oMath>
        <m:r>
          <m:t>10</m:t>
        </m:r>
        <m:r>
          <m:t>m</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rPr>
            <m:sty m:val="p"/>
          </m:rPr>
          <m:t>*</m:t>
        </m:r>
        <m:r>
          <m:rPr>
            <m:sty m:val="p"/>
          </m:rPr>
          <m:t>,</m:t>
        </m:r>
        <m:r>
          <m:t>v</m:t>
        </m:r>
        <m:r>
          <m:t>e</m:t>
        </m:r>
        <m:r>
          <m:t>r</m:t>
        </m:r>
        <m:r>
          <m:t>s</m:t>
        </m:r>
        <m:r>
          <m:t>u</m:t>
        </m:r>
        <m:r>
          <m:t>s</m:t>
        </m:r>
        <m:r>
          <m:t>a</m:t>
        </m:r>
        <m:r>
          <m:rPr>
            <m:sty m:val="p"/>
          </m:rPr>
          <m:t>*</m:t>
        </m:r>
        <m:r>
          <m:rPr>
            <m:sty m:val="p"/>
          </m:rPr>
          <m:t>*</m:t>
        </m:r>
      </m:oMath>
      <w:r>
        <w:rPr>
          <w:b/>
          <w:bCs/>
        </w:rPr>
        <w:t xml:space="preserve">29 million loss in Q1</w:t>
      </w:r>
      <w:r>
        <w:t xml:space="preserve"> </w:t>
      </w:r>
      <w:r>
        <w:t xml:space="preserve">and a</w:t>
      </w:r>
      <w:r>
        <w:t xml:space="preserve"> </w:t>
      </w:r>
      <w:r>
        <w:rPr>
          <w:b/>
          <w:bCs/>
        </w:rPr>
        <w:t xml:space="preserve">$76 million loss in Q2 2025</w:t>
      </w:r>
      <w:r>
        <w:t xml:space="preserve">. Achieving this would be an important milestone after years of elevated Homes.com investment.</w:t>
      </w:r>
    </w:p>
    <w:p>
      <w:pPr>
        <w:pStyle w:val="BodyText"/>
      </w:pPr>
      <w:r>
        <w:t xml:space="preserve">Investors should separate two questions:</w:t>
      </w:r>
    </w:p>
    <w:p>
      <w:pPr>
        <w:pStyle w:val="Compact"/>
        <w:numPr>
          <w:ilvl w:val="0"/>
          <w:numId w:val="1002"/>
        </w:numPr>
      </w:pPr>
      <w:r>
        <w:rPr>
          <w:b/>
          <w:bCs/>
        </w:rPr>
        <w:t xml:space="preserve">Did Residential turn profitable as promised?</w:t>
      </w:r>
    </w:p>
    <w:p>
      <w:pPr>
        <w:pStyle w:val="Compact"/>
        <w:numPr>
          <w:ilvl w:val="0"/>
          <w:numId w:val="1002"/>
        </w:numPr>
      </w:pPr>
      <w:r>
        <w:rPr>
          <w:b/>
          <w:bCs/>
        </w:rPr>
        <w:t xml:space="preserve">Was the improvement durable, or mainly caused by favorable expense timing?</w:t>
      </w:r>
    </w:p>
    <w:p>
      <w:pPr>
        <w:pStyle w:val="FirstParagraph"/>
      </w:pPr>
      <w:r>
        <w:t xml:space="preserve">A result near the top of the range, paired with stronger Homes.com monetization, would materially improve confidence in the margin-expansion story. A miss would revive concerns that residential spending remains difficult to control.</w:t>
      </w:r>
    </w:p>
    <w:bookmarkEnd w:id="15"/>
    <w:bookmarkStart w:id="16" w:name="X606ea25fe6d85f8ca715a5ea39ade8534d646cf"/>
    <w:p>
      <w:pPr>
        <w:pStyle w:val="Heading3"/>
      </w:pPr>
      <w:r>
        <w:t xml:space="preserve">3. Homes.com needs monetization—not just traffic</w:t>
      </w:r>
    </w:p>
    <w:p>
      <w:pPr>
        <w:pStyle w:val="FirstParagraph"/>
      </w:pPr>
      <w:r>
        <w:t xml:space="preserve">At the end of Q1, Homes.com had approximately</w:t>
      </w:r>
      <w:r>
        <w:t xml:space="preserve"> </w:t>
      </w:r>
      <w:r>
        <w:rPr>
          <w:b/>
          <w:bCs/>
        </w:rPr>
        <w:t xml:space="preserve">35,000 agent subscribers</w:t>
      </w:r>
      <w:r>
        <w:t xml:space="preserve">, while its March annual revenue run rate reached roughly</w:t>
      </w:r>
      <w:r>
        <w:t xml:space="preserve"> </w:t>
      </w:r>
      <w:r>
        <w:rPr>
          <w:b/>
          <w:bCs/>
        </w:rPr>
        <w:t xml:space="preserve">$106 million</w:t>
      </w:r>
      <w:r>
        <w:t xml:space="preserve">. Management also raised pricing for new customers beginning May 1 after presenting data that it believes demonstrates strong subscriber ROI. Homes.com traffic and engagement were strong, including a reported 119% increase in Q1 organic traffic. (</w:t>
      </w:r>
      <w:hyperlink r:id="rId11">
        <w:r>
          <w:rPr>
            <w:rStyle w:val="Hyperlink"/>
          </w:rPr>
          <w:t xml:space="preserve">investors.costargroup.com</w:t>
        </w:r>
      </w:hyperlink>
      <w:r>
        <w:t xml:space="preserve">)</w:t>
      </w:r>
    </w:p>
    <w:p>
      <w:pPr>
        <w:pStyle w:val="BodyText"/>
      </w:pPr>
      <w:r>
        <w:t xml:space="preserve">For Q2, the key Homes.com indicators are:</w:t>
      </w:r>
    </w:p>
    <w:p>
      <w:pPr>
        <w:pStyle w:val="Compact"/>
        <w:numPr>
          <w:ilvl w:val="0"/>
          <w:numId w:val="1003"/>
        </w:numPr>
      </w:pPr>
      <w:r>
        <w:t xml:space="preserve">Net member additions versus the roughly 4,300 added in Q1.</w:t>
      </w:r>
    </w:p>
    <w:p>
      <w:pPr>
        <w:pStyle w:val="Compact"/>
        <w:numPr>
          <w:ilvl w:val="0"/>
          <w:numId w:val="1003"/>
        </w:numPr>
      </w:pPr>
      <w:r>
        <w:t xml:space="preserve">Annualized net new bookings versus Q1’s approximately $11 million.</w:t>
      </w:r>
    </w:p>
    <w:p>
      <w:pPr>
        <w:pStyle w:val="Compact"/>
        <w:numPr>
          <w:ilvl w:val="0"/>
          <w:numId w:val="1003"/>
        </w:numPr>
      </w:pPr>
      <w:r>
        <w:t xml:space="preserve">ARPU improvement following the May pricing action.</w:t>
      </w:r>
    </w:p>
    <w:p>
      <w:pPr>
        <w:pStyle w:val="Compact"/>
        <w:numPr>
          <w:ilvl w:val="0"/>
          <w:numId w:val="1003"/>
        </w:numPr>
      </w:pPr>
      <w:r>
        <w:t xml:space="preserve">Renewal and cancellation trends, especially for early subscriber cohorts.</w:t>
      </w:r>
    </w:p>
    <w:p>
      <w:pPr>
        <w:pStyle w:val="Compact"/>
        <w:numPr>
          <w:ilvl w:val="0"/>
          <w:numId w:val="1003"/>
        </w:numPr>
      </w:pPr>
      <w:r>
        <w:t xml:space="preserve">Evidence that stronger traffic is translating into leads, commissions and willingness to renew.</w:t>
      </w:r>
    </w:p>
    <w:p>
      <w:pPr>
        <w:pStyle w:val="Compact"/>
        <w:numPr>
          <w:ilvl w:val="0"/>
          <w:numId w:val="1003"/>
        </w:numPr>
      </w:pPr>
      <w:r>
        <w:t xml:space="preserve">Progress toward the stated</w:t>
      </w:r>
      <w:r>
        <w:t xml:space="preserve"> </w:t>
      </w:r>
      <w:r>
        <w:rPr>
          <w:b/>
          <w:bCs/>
        </w:rPr>
        <w:t xml:space="preserve">$550 million 2026 net investment</w:t>
      </w:r>
      <w:r>
        <w:t xml:space="preserve"> </w:t>
      </w:r>
      <w:r>
        <w:t xml:space="preserve">target without incremental spending.</w:t>
      </w:r>
    </w:p>
    <w:p>
      <w:pPr>
        <w:pStyle w:val="FirstParagraph"/>
      </w:pPr>
      <w:r>
        <w:t xml:space="preserve">Traffic and AI-engagement statistics are helpful, but the stock increasingly needs proof that those metrics convert into subscription revenue and improving economics.</w:t>
      </w:r>
    </w:p>
    <w:bookmarkEnd w:id="16"/>
    <w:bookmarkStart w:id="17" w:name="X651fddfdc8b327d06b299885a24d7c03bfa093b"/>
    <w:p>
      <w:pPr>
        <w:pStyle w:val="Heading3"/>
      </w:pPr>
      <w:r>
        <w:t xml:space="preserve">4. Full-year guidance carries a significant second-half ramp</w:t>
      </w:r>
    </w:p>
    <w:p>
      <w:pPr>
        <w:pStyle w:val="FirstParagraph"/>
      </w:pPr>
      <w:r>
        <w:t xml:space="preserve">CoStar’s current full-year outlook is:</w:t>
      </w:r>
    </w:p>
    <w:p>
      <w:pPr>
        <w:pStyle w:val="Compact"/>
        <w:numPr>
          <w:ilvl w:val="0"/>
          <w:numId w:val="1004"/>
        </w:numPr>
      </w:pPr>
      <w:r>
        <w:t xml:space="preserve">Revenue of</w:t>
      </w:r>
      <w:r>
        <w:t xml:space="preserve"> </w:t>
      </w:r>
      <m:oMath>
        <m:r>
          <m:t>3.78</m:t>
        </m:r>
        <m:r>
          <m:t>B</m:t>
        </m:r>
        <m:r>
          <m:rPr>
            <m:sty m:val="p"/>
          </m:rPr>
          <m:t>–</m:t>
        </m:r>
      </m:oMath>
      <w:r>
        <w:rPr>
          <w:b/>
          <w:bCs/>
        </w:rPr>
        <w:t xml:space="preserve">3.82B</w:t>
      </w:r>
      <w:r>
        <w:t xml:space="preserve">.</w:t>
      </w:r>
    </w:p>
    <w:p>
      <w:pPr>
        <w:pStyle w:val="Compact"/>
        <w:numPr>
          <w:ilvl w:val="0"/>
          <w:numId w:val="1004"/>
        </w:numPr>
      </w:pPr>
      <w:r>
        <w:t xml:space="preserve">Adjusted EBITDA of</w:t>
      </w:r>
      <w:r>
        <w:t xml:space="preserve"> </w:t>
      </w:r>
      <m:oMath>
        <m:r>
          <m:t>780</m:t>
        </m:r>
        <m:r>
          <m:t>M</m:t>
        </m:r>
        <m:r>
          <m:rPr>
            <m:sty m:val="p"/>
          </m:rPr>
          <m:t>–</m:t>
        </m:r>
      </m:oMath>
      <w:r>
        <w:rPr>
          <w:b/>
          <w:bCs/>
        </w:rPr>
        <w:t xml:space="preserve">820M</w:t>
      </w:r>
      <w:r>
        <w:t xml:space="preserve">.</w:t>
      </w:r>
    </w:p>
    <w:p>
      <w:pPr>
        <w:pStyle w:val="Compact"/>
        <w:numPr>
          <w:ilvl w:val="0"/>
          <w:numId w:val="1004"/>
        </w:numPr>
      </w:pPr>
      <w:r>
        <w:t xml:space="preserve">Adjusted EPS of</w:t>
      </w:r>
      <w:r>
        <w:t xml:space="preserve"> </w:t>
      </w:r>
      <m:oMath>
        <m:r>
          <m:t>1.32</m:t>
        </m:r>
        <m:r>
          <m:rPr>
            <m:sty m:val="p"/>
          </m:rPr>
          <m:t>–</m:t>
        </m:r>
      </m:oMath>
      <w:r>
        <w:rPr>
          <w:b/>
          <w:bCs/>
        </w:rPr>
        <w:t xml:space="preserve">1.39</w:t>
      </w:r>
      <w:r>
        <w:t xml:space="preserve">. (</w:t>
      </w:r>
      <w:hyperlink r:id="rId11">
        <w:r>
          <w:rPr>
            <w:rStyle w:val="Hyperlink"/>
          </w:rPr>
          <w:t xml:space="preserve">investors.costargroup.com</w:t>
        </w:r>
      </w:hyperlink>
      <w:r>
        <w:t xml:space="preserve">)</w:t>
      </w:r>
    </w:p>
    <w:p>
      <w:pPr>
        <w:pStyle w:val="FirstParagraph"/>
      </w:pPr>
      <w:r>
        <w:t xml:space="preserve">At the midpoint of Q2 guidance, the company would have generated approximately</w:t>
      </w:r>
      <w:r>
        <w:t xml:space="preserve"> </w:t>
      </w:r>
      <m:oMath>
        <m:r>
          <m:t>1.824</m:t>
        </m:r>
        <m:r>
          <m:t>b</m:t>
        </m:r>
        <m:r>
          <m:t>i</m:t>
        </m:r>
        <m:r>
          <m:t>l</m:t>
        </m:r>
        <m:r>
          <m:t>l</m:t>
        </m:r>
        <m:r>
          <m:t>i</m:t>
        </m:r>
        <m:r>
          <m:t>o</m:t>
        </m:r>
        <m:r>
          <m:t>n</m:t>
        </m:r>
        <m:r>
          <m:t>o</m:t>
        </m:r>
        <m:r>
          <m:t>f</m:t>
        </m:r>
        <m:r>
          <m:t>f</m:t>
        </m:r>
        <m:r>
          <m:t>i</m:t>
        </m:r>
        <m:r>
          <m:t>r</m:t>
        </m:r>
        <m:r>
          <m:t>s</m:t>
        </m:r>
        <m:r>
          <m:t>t</m:t>
        </m:r>
        <m:r>
          <m:rPr>
            <m:sty m:val="p"/>
          </m:rPr>
          <m:t>−</m:t>
        </m:r>
        <m:r>
          <m:t>h</m:t>
        </m:r>
        <m:r>
          <m:t>a</m:t>
        </m:r>
        <m:r>
          <m:t>l</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302 million of first-half adjusted EBITDA</w:t>
      </w:r>
      <w:r>
        <w:t xml:space="preserve">. To reach the full-year midpoints, the second half would need approximately:</w:t>
      </w:r>
    </w:p>
    <w:p>
      <w:pPr>
        <w:pStyle w:val="Compact"/>
        <w:numPr>
          <w:ilvl w:val="0"/>
          <w:numId w:val="1005"/>
        </w:numPr>
      </w:pPr>
      <m:oMath>
        <m:r>
          <m:t>1.976</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o</m:t>
        </m:r>
        <m:r>
          <m:t>r</m:t>
        </m:r>
        <m:r>
          <m:t>a</m:t>
        </m:r>
        <m:r>
          <m:t>n</m:t>
        </m:r>
        <m:r>
          <m:t>a</m:t>
        </m:r>
        <m:r>
          <m:t>v</m:t>
        </m:r>
        <m:r>
          <m:t>e</m:t>
        </m:r>
        <m:r>
          <m:t>r</m:t>
        </m:r>
        <m:r>
          <m:t>a</m:t>
        </m:r>
        <m:r>
          <m:t>g</m:t>
        </m:r>
        <m:r>
          <m:t>e</m:t>
        </m:r>
        <m:r>
          <m:t>o</m:t>
        </m:r>
        <m:r>
          <m:t>f</m:t>
        </m:r>
        <m:r>
          <m:rPr>
            <m:sty m:val="p"/>
          </m:rPr>
          <m:t>*</m:t>
        </m:r>
        <m:r>
          <m:rPr>
            <m:sty m:val="p"/>
          </m:rPr>
          <m:t>*</m:t>
        </m:r>
      </m:oMath>
      <w:r>
        <w:rPr>
          <w:b/>
          <w:bCs/>
        </w:rPr>
        <w:t xml:space="preserve">988 million per quarter</w:t>
      </w:r>
      <w:r>
        <w:t xml:space="preserve">.</w:t>
      </w:r>
    </w:p>
    <w:p>
      <w:pPr>
        <w:pStyle w:val="Compact"/>
        <w:numPr>
          <w:ilvl w:val="0"/>
          <w:numId w:val="1005"/>
        </w:numPr>
      </w:pPr>
      <m:oMath>
        <m:r>
          <m:t>498</m:t>
        </m:r>
        <m:r>
          <m:t>m</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rPr>
            <m:sty m:val="p"/>
          </m:rPr>
          <m:t>*</m:t>
        </m:r>
        <m:r>
          <m:rPr>
            <m:sty m:val="p"/>
          </m:rPr>
          <m:t>,</m:t>
        </m:r>
        <m:r>
          <m:t>o</m:t>
        </m:r>
        <m:r>
          <m:t>r</m:t>
        </m:r>
        <m:r>
          <m:t>a</m:t>
        </m:r>
        <m:r>
          <m:t>n</m:t>
        </m:r>
        <m:r>
          <m:t>a</m:t>
        </m:r>
        <m:r>
          <m:t>v</m:t>
        </m:r>
        <m:r>
          <m:t>e</m:t>
        </m:r>
        <m:r>
          <m:t>r</m:t>
        </m:r>
        <m:r>
          <m:t>a</m:t>
        </m:r>
        <m:r>
          <m:t>g</m:t>
        </m:r>
        <m:r>
          <m:t>e</m:t>
        </m:r>
        <m:r>
          <m:t>o</m:t>
        </m:r>
        <m:r>
          <m:t>f</m:t>
        </m:r>
        <m:r>
          <m:rPr>
            <m:sty m:val="p"/>
          </m:rPr>
          <m:t>*</m:t>
        </m:r>
        <m:r>
          <m:rPr>
            <m:sty m:val="p"/>
          </m:rPr>
          <m:t>*</m:t>
        </m:r>
      </m:oMath>
      <w:r>
        <w:rPr>
          <w:b/>
          <w:bCs/>
        </w:rPr>
        <w:t xml:space="preserve">249 million per quarter</w:t>
      </w:r>
      <w:r>
        <w:t xml:space="preserve">.</w:t>
      </w:r>
    </w:p>
    <w:p>
      <w:pPr>
        <w:pStyle w:val="Compact"/>
        <w:numPr>
          <w:ilvl w:val="0"/>
          <w:numId w:val="1005"/>
        </w:numPr>
      </w:pPr>
      <w:r>
        <w:t xml:space="preserve">An average second-half adjusted EBITDA margin of roughly</w:t>
      </w:r>
      <w:r>
        <w:t xml:space="preserve"> </w:t>
      </w:r>
      <w:r>
        <w:rPr>
          <w:b/>
          <w:bCs/>
        </w:rPr>
        <w:t xml:space="preserve">25%</w:t>
      </w:r>
      <w:r>
        <w:t xml:space="preserve">, versus approximately</w:t>
      </w:r>
      <w:r>
        <w:t xml:space="preserve"> </w:t>
      </w:r>
      <w:r>
        <w:rPr>
          <w:b/>
          <w:bCs/>
        </w:rPr>
        <w:t xml:space="preserve">18%</w:t>
      </w:r>
      <w:r>
        <w:t xml:space="preserve"> </w:t>
      </w:r>
      <w:r>
        <w:t xml:space="preserve">at the Q2 midpoint.</w:t>
      </w:r>
    </w:p>
    <w:p>
      <w:pPr>
        <w:pStyle w:val="FirstParagraph"/>
      </w:pPr>
      <w:r>
        <w:t xml:space="preserve">That ramp is plausible if residential losses continue falling, sales productivity improves and cost controls hold. But it makes the</w:t>
      </w:r>
      <w:r>
        <w:t xml:space="preserve"> </w:t>
      </w:r>
      <w:r>
        <w:rPr>
          <w:b/>
          <w:bCs/>
        </w:rPr>
        <w:t xml:space="preserve">Q3 outlook and reaffirmation of full-year EBITDA guidance</w:t>
      </w:r>
      <w:r>
        <w:t xml:space="preserve"> </w:t>
      </w:r>
      <w:r>
        <w:t xml:space="preserve">more important than a small Q2 variance.</w:t>
      </w:r>
    </w:p>
    <w:p>
      <w:pPr>
        <w:pStyle w:val="BodyText"/>
      </w:pPr>
      <w:r>
        <w:t xml:space="preserve">A full-year revenue reaffirmation combined with another EBITDA increase would be the strongest outcome. Conversely, an EBITDA reaffirmation supported mainly by lower spending while bookings weaken would be lower quality.</w:t>
      </w:r>
    </w:p>
    <w:bookmarkEnd w:id="17"/>
    <w:bookmarkStart w:id="18" w:name="Xdc2fb392b894eaf44ec852fda0b2028f2e010d3"/>
    <w:p>
      <w:pPr>
        <w:pStyle w:val="Heading3"/>
      </w:pPr>
      <w:r>
        <w:t xml:space="preserve">5. Core commercial growth must remain dependable</w:t>
      </w:r>
    </w:p>
    <w:p>
      <w:pPr>
        <w:pStyle w:val="FirstParagraph"/>
      </w:pPr>
      <w:r>
        <w:t xml:space="preserve">The core commercial portfolio provides the earnings base funding CoStar’s residential expansion. In Q1:</w:t>
      </w:r>
    </w:p>
    <w:p>
      <w:pPr>
        <w:pStyle w:val="Compact"/>
        <w:numPr>
          <w:ilvl w:val="0"/>
          <w:numId w:val="1006"/>
        </w:numPr>
      </w:pPr>
      <w:r>
        <w:t xml:space="preserve">CoStar revenue grew 9%.</w:t>
      </w:r>
    </w:p>
    <w:p>
      <w:pPr>
        <w:pStyle w:val="Compact"/>
        <w:numPr>
          <w:ilvl w:val="0"/>
          <w:numId w:val="1006"/>
        </w:numPr>
      </w:pPr>
      <w:r>
        <w:t xml:space="preserve">LoopNet revenue grew 16%.</w:t>
      </w:r>
    </w:p>
    <w:p>
      <w:pPr>
        <w:pStyle w:val="Compact"/>
        <w:numPr>
          <w:ilvl w:val="0"/>
          <w:numId w:val="1006"/>
        </w:numPr>
      </w:pPr>
      <w:r>
        <w:t xml:space="preserve">Commercial segment revenue totaled $472 million.</w:t>
      </w:r>
    </w:p>
    <w:p>
      <w:pPr>
        <w:pStyle w:val="Compact"/>
        <w:numPr>
          <w:ilvl w:val="0"/>
          <w:numId w:val="1006"/>
        </w:numPr>
      </w:pPr>
      <w:r>
        <w:t xml:space="preserve">Commercial adjusted EBITDA was $161 million.</w:t>
      </w:r>
    </w:p>
    <w:p>
      <w:pPr>
        <w:pStyle w:val="FirstParagraph"/>
      </w:pPr>
      <w:r>
        <w:t xml:space="preserve">For Q2, investors should watch:</w:t>
      </w:r>
    </w:p>
    <w:p>
      <w:pPr>
        <w:pStyle w:val="Compact"/>
        <w:numPr>
          <w:ilvl w:val="0"/>
          <w:numId w:val="1007"/>
        </w:numPr>
      </w:pPr>
      <w:r>
        <w:t xml:space="preserve">CoStar user and renewal trends.</w:t>
      </w:r>
    </w:p>
    <w:p>
      <w:pPr>
        <w:pStyle w:val="Compact"/>
        <w:numPr>
          <w:ilvl w:val="0"/>
          <w:numId w:val="1007"/>
        </w:numPr>
      </w:pPr>
      <w:r>
        <w:t xml:space="preserve">Whether improving broker and tenant demand indicates a healthier commercial-property environment.</w:t>
      </w:r>
    </w:p>
    <w:p>
      <w:pPr>
        <w:pStyle w:val="Compact"/>
        <w:numPr>
          <w:ilvl w:val="0"/>
          <w:numId w:val="1007"/>
        </w:numPr>
      </w:pPr>
      <w:r>
        <w:t xml:space="preserve">LoopNet’s asset-based pricing rollout.</w:t>
      </w:r>
    </w:p>
    <w:p>
      <w:pPr>
        <w:pStyle w:val="Compact"/>
        <w:numPr>
          <w:ilvl w:val="0"/>
          <w:numId w:val="1007"/>
        </w:numPr>
      </w:pPr>
      <w:r>
        <w:t xml:space="preserve">Matterport subscription growth and integration across CoStar’s marketplaces.</w:t>
      </w:r>
    </w:p>
    <w:p>
      <w:pPr>
        <w:pStyle w:val="Compact"/>
        <w:numPr>
          <w:ilvl w:val="0"/>
          <w:numId w:val="1007"/>
        </w:numPr>
      </w:pPr>
      <w:r>
        <w:t xml:space="preserve">International launches, including CoStar France and preparations for Australia.</w:t>
      </w:r>
    </w:p>
    <w:p>
      <w:pPr>
        <w:pStyle w:val="Compact"/>
        <w:numPr>
          <w:ilvl w:val="0"/>
          <w:numId w:val="1007"/>
        </w:numPr>
      </w:pPr>
      <w:r>
        <w:t xml:space="preserve">Whether commercial margins remain in the guided</w:t>
      </w:r>
      <w:r>
        <w:t xml:space="preserve"> </w:t>
      </w:r>
      <w:r>
        <w:rPr>
          <w:b/>
          <w:bCs/>
        </w:rPr>
        <w:t xml:space="preserve">34%–35%</w:t>
      </w:r>
      <w:r>
        <w:t xml:space="preserve"> </w:t>
      </w:r>
      <w:r>
        <w:t xml:space="preserve">area.</w:t>
      </w:r>
    </w:p>
    <w:p>
      <w:pPr>
        <w:pStyle w:val="FirstParagraph"/>
      </w:pPr>
      <w:r>
        <w:t xml:space="preserve">A shortfall in core commercial growth would be particularly concerning because the commercial business is supposed to be the stable, high-margin counterweight to Homes.com execution risk.</w:t>
      </w:r>
    </w:p>
    <w:bookmarkEnd w:id="18"/>
    <w:bookmarkStart w:id="20" w:name="X4ac1b355282bddf91bd702f576bdc09c2faffa6"/>
    <w:p>
      <w:pPr>
        <w:pStyle w:val="Heading3"/>
      </w:pPr>
      <w:r>
        <w:t xml:space="preserve">6. The CFO transition raises the bar for guidance clarity</w:t>
      </w:r>
    </w:p>
    <w:p>
      <w:pPr>
        <w:pStyle w:val="FirstParagraph"/>
      </w:pPr>
      <w:r>
        <w:t xml:space="preserve">On July 13, CoStar named</w:t>
      </w:r>
      <w:r>
        <w:t xml:space="preserve"> </w:t>
      </w:r>
      <w:r>
        <w:rPr>
          <w:b/>
          <w:bCs/>
        </w:rPr>
        <w:t xml:space="preserve">Robin Rossmann</w:t>
      </w:r>
      <w:r>
        <w:t xml:space="preserve"> </w:t>
      </w:r>
      <w:r>
        <w:t xml:space="preserve">CFO effective July 31, succeeding Christian Lown. The company emphasized Rossmann’s record of eliminating approximately</w:t>
      </w:r>
      <w:r>
        <w:t xml:space="preserve"> </w:t>
      </w:r>
      <w:r>
        <w:rPr>
          <w:b/>
          <w:bCs/>
        </w:rPr>
        <w:t xml:space="preserve">$51 million</w:t>
      </w:r>
      <w:r>
        <w:t xml:space="preserve">, or 25%, of the European cost structure while maintaining double-digit growth. Lown’s departure was described as unrelated to any disagreement with the company. (</w:t>
      </w:r>
      <w:hyperlink r:id="rId19">
        <w:r>
          <w:rPr>
            <w:rStyle w:val="Hyperlink"/>
          </w:rPr>
          <w:t xml:space="preserve">investors.costargroup.com</w:t>
        </w:r>
      </w:hyperlink>
      <w:r>
        <w:t xml:space="preserve">)</w:t>
      </w:r>
    </w:p>
    <w:p>
      <w:pPr>
        <w:pStyle w:val="BodyText"/>
      </w:pPr>
      <w:r>
        <w:t xml:space="preserve">Because the transition occurs immediately after this report, investors will want clarity on:</w:t>
      </w:r>
    </w:p>
    <w:p>
      <w:pPr>
        <w:pStyle w:val="Compact"/>
        <w:numPr>
          <w:ilvl w:val="0"/>
          <w:numId w:val="1008"/>
        </w:numPr>
      </w:pPr>
      <w:r>
        <w:t xml:space="preserve">Whether Rossmann participated in preparing the updated outlook.</w:t>
      </w:r>
    </w:p>
    <w:p>
      <w:pPr>
        <w:pStyle w:val="Compact"/>
        <w:numPr>
          <w:ilvl w:val="0"/>
          <w:numId w:val="1008"/>
        </w:numPr>
      </w:pPr>
      <w:r>
        <w:t xml:space="preserve">Whether the leadership change implies a more aggressive cost program.</w:t>
      </w:r>
    </w:p>
    <w:p>
      <w:pPr>
        <w:pStyle w:val="Compact"/>
        <w:numPr>
          <w:ilvl w:val="0"/>
          <w:numId w:val="1008"/>
        </w:numPr>
      </w:pPr>
      <w:r>
        <w:t xml:space="preserve">Continued commitment to the 2026 and medium-term margin targets.</w:t>
      </w:r>
    </w:p>
    <w:p>
      <w:pPr>
        <w:pStyle w:val="Compact"/>
        <w:numPr>
          <w:ilvl w:val="0"/>
          <w:numId w:val="1008"/>
        </w:numPr>
      </w:pPr>
      <w:r>
        <w:t xml:space="preserve">Capital allocation and the pace of the share-repurchase program.</w:t>
      </w:r>
    </w:p>
    <w:p>
      <w:pPr>
        <w:pStyle w:val="Compact"/>
        <w:numPr>
          <w:ilvl w:val="0"/>
          <w:numId w:val="1008"/>
        </w:numPr>
      </w:pPr>
      <w:r>
        <w:t xml:space="preserve">Whether any strategic or reporting changes are planned.</w:t>
      </w:r>
    </w:p>
    <w:p>
      <w:pPr>
        <w:pStyle w:val="FirstParagraph"/>
      </w:pPr>
      <w:r>
        <w:t xml:space="preserve">The appointment’s explicit emphasis on “margin expansion and profitable growth” should make cost discipline a major theme on the call.</w:t>
      </w:r>
    </w:p>
    <w:bookmarkEnd w:id="20"/>
    <w:bookmarkEnd w:id="21"/>
    <w:bookmarkStart w:id="22" w:name="likely-market-interpretation"/>
    <w:p>
      <w:pPr>
        <w:pStyle w:val="Heading2"/>
      </w:pPr>
      <w:r>
        <w:t xml:space="preserve">Likely market interpretation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Outcome</w:t>
            </w:r>
          </w:p>
        </w:tc>
        <w:tc>
          <w:tcPr/>
          <w:p>
            <w:pPr>
              <w:pStyle w:val="Compact"/>
            </w:pPr>
            <w:r>
              <w:t xml:space="preserve">What it might look like</w:t>
            </w:r>
          </w:p>
        </w:tc>
        <w:tc>
          <w:tcPr/>
          <w:p>
            <w:pPr>
              <w:pStyle w:val="Compact"/>
            </w:pPr>
            <w:r>
              <w:t xml:space="preserve">Probable interpretation</w:t>
            </w:r>
          </w:p>
        </w:tc>
      </w:tr>
      <w:tr>
        <w:tc>
          <w:tcPr/>
          <w:p>
            <w:pPr>
              <w:pStyle w:val="Compact"/>
            </w:pPr>
            <w:r>
              <w:rPr>
                <w:b/>
                <w:bCs/>
              </w:rPr>
              <w:t xml:space="preserve">Bullish</w:t>
            </w:r>
          </w:p>
        </w:tc>
        <w:tc>
          <w:tcPr/>
          <w:p>
            <w:pPr>
              <w:pStyle w:val="Compact"/>
            </w:pPr>
            <w:r>
              <w:t xml:space="preserve">Revenue and EBITDA above the upper ends; strong sequential bookings; Residential clearly profitable; FY EBITDA raised</w:t>
            </w:r>
          </w:p>
        </w:tc>
        <w:tc>
          <w:tcPr/>
          <w:p>
            <w:pPr>
              <w:pStyle w:val="Compact"/>
            </w:pPr>
            <w:r>
              <w:t xml:space="preserve">The earnings inflection is real and Homes.com risk is becoming manageable</w:t>
            </w:r>
          </w:p>
        </w:tc>
      </w:tr>
      <w:tr>
        <w:tc>
          <w:tcPr/>
          <w:p>
            <w:pPr>
              <w:pStyle w:val="Compact"/>
            </w:pPr>
            <w:r>
              <w:rPr>
                <w:b/>
                <w:bCs/>
              </w:rPr>
              <w:t xml:space="preserve">Constructive/base</w:t>
            </w:r>
          </w:p>
        </w:tc>
        <w:tc>
          <w:tcPr/>
          <w:p>
            <w:pPr>
              <w:pStyle w:val="Compact"/>
            </w:pPr>
            <w:r>
              <w:t xml:space="preserve">Results near the high end; bookings improve; FY guidance reaffirmed; solid Q3 outlook</w:t>
            </w:r>
          </w:p>
        </w:tc>
        <w:tc>
          <w:tcPr/>
          <w:p>
            <w:pPr>
              <w:pStyle w:val="Compact"/>
            </w:pPr>
            <w:r>
              <w:t xml:space="preserve">Execution is stabilizing, but investors may wait for more proof</w:t>
            </w:r>
          </w:p>
        </w:tc>
      </w:tr>
      <w:tr>
        <w:tc>
          <w:tcPr/>
          <w:p>
            <w:pPr>
              <w:pStyle w:val="Compact"/>
            </w:pPr>
            <w:r>
              <w:rPr>
                <w:b/>
                <w:bCs/>
              </w:rPr>
              <w:t xml:space="preserve">Mixed</w:t>
            </w:r>
          </w:p>
        </w:tc>
        <w:tc>
          <w:tcPr/>
          <w:p>
            <w:pPr>
              <w:pStyle w:val="Compact"/>
            </w:pPr>
            <w:r>
              <w:t xml:space="preserve">EPS beat driven by lower costs, but bookings or Homes.com additions disappoint</w:t>
            </w:r>
          </w:p>
        </w:tc>
        <w:tc>
          <w:tcPr/>
          <w:p>
            <w:pPr>
              <w:pStyle w:val="Compact"/>
            </w:pPr>
            <w:r>
              <w:t xml:space="preserve">Low-quality beat; future revenue concerns remain</w:t>
            </w:r>
          </w:p>
        </w:tc>
      </w:tr>
      <w:tr>
        <w:tc>
          <w:tcPr/>
          <w:p>
            <w:pPr>
              <w:pStyle w:val="Compact"/>
            </w:pPr>
            <w:r>
              <w:rPr>
                <w:b/>
                <w:bCs/>
              </w:rPr>
              <w:t xml:space="preserve">Bearish</w:t>
            </w:r>
          </w:p>
        </w:tc>
        <w:tc>
          <w:tcPr/>
          <w:p>
            <w:pPr>
              <w:pStyle w:val="Compact"/>
            </w:pPr>
            <w:r>
              <w:t xml:space="preserve">Weak bookings, Residential remains loss-making, or FY guidance reduced</w:t>
            </w:r>
          </w:p>
        </w:tc>
        <w:tc>
          <w:tcPr/>
          <w:p>
            <w:pPr>
              <w:pStyle w:val="Compact"/>
            </w:pPr>
            <w:r>
              <w:t xml:space="preserve">Undermines both the Homes.com thesis and the expected second-half margin ramp</w:t>
            </w:r>
          </w:p>
        </w:tc>
      </w:tr>
    </w:tbl>
    <w:bookmarkEnd w:id="22"/>
    <w:bookmarkStart w:id="23" w:name="questions-management-should-answer"/>
    <w:p>
      <w:pPr>
        <w:pStyle w:val="Heading2"/>
      </w:pPr>
      <w:r>
        <w:t xml:space="preserve">Questions management should answer</w:t>
      </w:r>
    </w:p>
    <w:p>
      <w:pPr>
        <w:pStyle w:val="Compact"/>
        <w:numPr>
          <w:ilvl w:val="0"/>
          <w:numId w:val="1009"/>
        </w:numPr>
      </w:pPr>
      <w:r>
        <w:t xml:space="preserve">How much did annualized net new bookings improve sequentially, and which brands drove the change?</w:t>
      </w:r>
    </w:p>
    <w:p>
      <w:pPr>
        <w:pStyle w:val="Compact"/>
        <w:numPr>
          <w:ilvl w:val="0"/>
          <w:numId w:val="1009"/>
        </w:numPr>
      </w:pPr>
      <w:r>
        <w:t xml:space="preserve">What were Homes.com’s Q2 member additions, bookings, ARPU and renewal trends?</w:t>
      </w:r>
    </w:p>
    <w:p>
      <w:pPr>
        <w:pStyle w:val="Compact"/>
        <w:numPr>
          <w:ilvl w:val="0"/>
          <w:numId w:val="1009"/>
        </w:numPr>
      </w:pPr>
      <w:r>
        <w:t xml:space="preserve">How did the May 1 price increase affect Homes.com close rates and customer churn?</w:t>
      </w:r>
    </w:p>
    <w:p>
      <w:pPr>
        <w:pStyle w:val="Compact"/>
        <w:numPr>
          <w:ilvl w:val="0"/>
          <w:numId w:val="1009"/>
        </w:numPr>
      </w:pPr>
      <w:r>
        <w:t xml:space="preserve">Did Residential achieve positive adjusted EBITDA, and how much of the improvement was structural?</w:t>
      </w:r>
    </w:p>
    <w:p>
      <w:pPr>
        <w:pStyle w:val="Compact"/>
        <w:numPr>
          <w:ilvl w:val="0"/>
          <w:numId w:val="1009"/>
        </w:numPr>
      </w:pPr>
      <w:r>
        <w:t xml:space="preserve">What gives management confidence in the sharp second-half EBITDA ramp?</w:t>
      </w:r>
    </w:p>
    <w:p>
      <w:pPr>
        <w:pStyle w:val="Compact"/>
        <w:numPr>
          <w:ilvl w:val="0"/>
          <w:numId w:val="1009"/>
        </w:numPr>
      </w:pPr>
      <w:r>
        <w:t xml:space="preserve">Are the 2026 Homes.com investment and full-year expense assumptions unchanged?</w:t>
      </w:r>
    </w:p>
    <w:p>
      <w:pPr>
        <w:pStyle w:val="Compact"/>
        <w:numPr>
          <w:ilvl w:val="0"/>
          <w:numId w:val="1009"/>
        </w:numPr>
      </w:pPr>
      <w:r>
        <w:t xml:space="preserve">How are the 2025 sales-hiring cohorts progressing against productivity targets?</w:t>
      </w:r>
    </w:p>
    <w:p>
      <w:pPr>
        <w:pStyle w:val="Compact"/>
        <w:numPr>
          <w:ilvl w:val="0"/>
          <w:numId w:val="1009"/>
        </w:numPr>
      </w:pPr>
      <w:r>
        <w:t xml:space="preserve">Does the incoming CFO plan additional cost reductions or capital-allocation changes?</w:t>
      </w:r>
    </w:p>
    <w:p>
      <w:pPr>
        <w:pStyle w:val="Compact"/>
        <w:numPr>
          <w:ilvl w:val="0"/>
          <w:numId w:val="1009"/>
        </w:numPr>
      </w:pPr>
      <w:r>
        <w:t xml:space="preserve">How much stock was repurchased during Q2, particularly at the sharply lower share price?</w:t>
      </w:r>
    </w:p>
    <w:p>
      <w:pPr>
        <w:pStyle w:val="Compact"/>
        <w:numPr>
          <w:ilvl w:val="0"/>
          <w:numId w:val="1009"/>
        </w:numPr>
      </w:pPr>
      <w:r>
        <w:t xml:space="preserve">What are the preliminary revenue and margin expectations for Q3?</w:t>
      </w:r>
    </w:p>
    <w:bookmarkEnd w:id="23"/>
    <w:bookmarkStart w:id="24" w:name="bottom-line"/>
    <w:p>
      <w:pPr>
        <w:pStyle w:val="Heading2"/>
      </w:pPr>
      <w:r>
        <w:t xml:space="preserve">Bottom line</w:t>
      </w:r>
    </w:p>
    <w:p>
      <w:pPr>
        <w:pStyle w:val="FirstParagraph"/>
      </w:pPr>
      <w:r>
        <w:t xml:space="preserve">This report is less about whether adjusted EPS is</w:t>
      </w:r>
      <w:r>
        <w:t xml:space="preserve"> </w:t>
      </w:r>
      <w:r>
        <w:rPr>
          <w:b/>
          <w:bCs/>
        </w:rPr>
        <w:t xml:space="preserve">$0.28 or $0.30</w:t>
      </w:r>
      <w:r>
        <w:t xml:space="preserve"> </w:t>
      </w:r>
      <w:r>
        <w:t xml:space="preserve">and more about whether CoStar can demonstrate three things simultaneously:</w:t>
      </w:r>
    </w:p>
    <w:p>
      <w:pPr>
        <w:pStyle w:val="Compact"/>
        <w:numPr>
          <w:ilvl w:val="0"/>
          <w:numId w:val="1010"/>
        </w:numPr>
      </w:pPr>
      <w:r>
        <w:rPr>
          <w:b/>
          <w:bCs/>
        </w:rPr>
        <w:t xml:space="preserve">Bookings are accelerating.</w:t>
      </w:r>
    </w:p>
    <w:p>
      <w:pPr>
        <w:pStyle w:val="Compact"/>
        <w:numPr>
          <w:ilvl w:val="0"/>
          <w:numId w:val="1010"/>
        </w:numPr>
      </w:pPr>
      <w:r>
        <w:rPr>
          <w:b/>
          <w:bCs/>
        </w:rPr>
        <w:t xml:space="preserve">Residential has crossed into profitability.</w:t>
      </w:r>
    </w:p>
    <w:p>
      <w:pPr>
        <w:pStyle w:val="Compact"/>
        <w:numPr>
          <w:ilvl w:val="0"/>
          <w:numId w:val="1010"/>
        </w:numPr>
      </w:pPr>
      <w:r>
        <w:rPr>
          <w:b/>
          <w:bCs/>
        </w:rPr>
        <w:t xml:space="preserve">The second-half margin ramp is credible without sacrificing future growth.</w:t>
      </w:r>
    </w:p>
    <w:p>
      <w:pPr>
        <w:pStyle w:val="FirstParagraph"/>
      </w:pPr>
      <w:r>
        <w:t xml:space="preserve">The share-price decline means expectations are far less demanding than they were at the beginning of 2026. Nevertheless, prior post-earnings reactions show that a routine headline beat will probably not be sufficient. The clearest positive catalyst would be strong bookings, measurable Homes.com monetization and a higher full-year EBITDA outlook. The greatest risk is an earnings beat driven by expense timing while bookings and residential customer economics remain weak.</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nvestors.costargroup.com/news-releases/news-release-details/costar-group-promotes-robin-rossmann-chief-financial-officer?utm_source=openai" TargetMode="External" /><Relationship Type="http://schemas.openxmlformats.org/officeDocument/2006/relationships/hyperlink" Id="rId11" Target="https://investors.costargroup.com/news-releases/news-release-details/costar-group-q1-2026-revenue-grows-23-year-over-year-897-million?utm_source=openai" TargetMode="External" /><Relationship Type="http://schemas.openxmlformats.org/officeDocument/2006/relationships/hyperlink" Id="rId9" Target="https://investors.costargroup.com/news-releases/news-release-details/costar-group-report-financial-results-second-quarter-july-28?utm_source=openai" TargetMode="External" /><Relationship Type="http://schemas.openxmlformats.org/officeDocument/2006/relationships/hyperlink" Id="rId10" Target="https://www.marketbeat.com/earnings/reports/2026-7-28-costar-group-inc-stock/" TargetMode="External" /></Relationships>
</file>

<file path=word/_rels/footnotes.xml.rels><?xml version="1.0" encoding="UTF-8"?><Relationships xmlns="http://schemas.openxmlformats.org/package/2006/relationships"><Relationship Type="http://schemas.openxmlformats.org/officeDocument/2006/relationships/hyperlink" Id="rId19" Target="https://investors.costargroup.com/news-releases/news-release-details/costar-group-promotes-robin-rossmann-chief-financial-officer?utm_source=openai" TargetMode="External" /><Relationship Type="http://schemas.openxmlformats.org/officeDocument/2006/relationships/hyperlink" Id="rId11" Target="https://investors.costargroup.com/news-releases/news-release-details/costar-group-q1-2026-revenue-grows-23-year-over-year-897-million?utm_source=openai" TargetMode="External" /><Relationship Type="http://schemas.openxmlformats.org/officeDocument/2006/relationships/hyperlink" Id="rId9" Target="https://investors.costargroup.com/news-releases/news-release-details/costar-group-report-financial-results-second-quarter-july-28?utm_source=openai" TargetMode="External" /><Relationship Type="http://schemas.openxmlformats.org/officeDocument/2006/relationships/hyperlink" Id="rId10" Target="https://www.marketbeat.com/earnings/reports/2026-7-28-costar-group-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2026-07-28T01:20:25Z</dcterms:created>
  <dcterms:modified xsi:type="dcterms:W3CDTF">2026-07-28T01:20:25Z</dcterms:modified>
</cp:coreProperties>
</file>

<file path=docProps/custom.xml><?xml version="1.0" encoding="utf-8"?>
<Properties xmlns="http://schemas.openxmlformats.org/officeDocument/2006/custom-properties" xmlns:vt="http://schemas.openxmlformats.org/officeDocument/2006/docPropsVTypes"/>
</file>