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3fa39955cae825c06825849f3e01c339109245"/>
    <w:p>
      <w:pPr>
        <w:pStyle w:val="Heading1"/>
      </w:pPr>
      <w:r>
        <w:t xml:space="preserve">CoStar Group (NASDAQ: CSGP) — 2Q26 Earnings Preview</w:t>
      </w:r>
    </w:p>
    <w:p>
      <w:pPr>
        <w:pStyle w:val="BlockText"/>
      </w:pPr>
      <w:r>
        <w:rPr>
          <w:b/>
          <w:bCs/>
        </w:rPr>
        <w:t xml:space="preserve">Date clarification:</w:t>
      </w:r>
      <w:r>
        <w:t xml:space="preserve"> </w:t>
      </w:r>
      <w:r>
        <w:t xml:space="preserve">The report is scheduled for</w:t>
      </w:r>
      <w:r>
        <w:t xml:space="preserve"> </w:t>
      </w:r>
      <w:r>
        <w:rPr>
          <w:b/>
          <w:bCs/>
        </w:rPr>
        <w:t xml:space="preserve">Tuesday, July 28, 2026</w:t>
      </w:r>
      <w:r>
        <w:t xml:space="preserve">—</w:t>
      </w:r>
      <w:r>
        <w:rPr>
          <w:b/>
          <w:bCs/>
        </w:rPr>
        <w:t xml:space="preserve">today</w:t>
      </w:r>
      <w:r>
        <w:t xml:space="preserve">, not tomorrow—based on the event date provided. This preview is written ahead of that release.</w:t>
      </w:r>
    </w:p>
    <w:bookmarkStart w:id="9" w:name="Xda9d9c5553c2051f743e3ceab9d096bfea7fec2"/>
    <w:p>
      <w:pPr>
        <w:pStyle w:val="Heading2"/>
      </w:pPr>
      <w:r>
        <w:t xml:space="preserve">Investment setup: execution against a profitability inflection</w:t>
      </w:r>
    </w:p>
    <w:p>
      <w:pPr>
        <w:pStyle w:val="FirstParagraph"/>
      </w:pPr>
      <w:r>
        <w:t xml:space="preserve">CoStar enters 2Q26 with a relatively straightforward headline test:</w:t>
      </w:r>
      <w:r>
        <w:t xml:space="preserve"> </w:t>
      </w:r>
      <w:r>
        <w:rPr>
          <w:b/>
          <w:bCs/>
        </w:rPr>
        <w:t xml:space="preserve">can it deliver the second consecutive quarter of material EBITDA outperformance while proving that the Homes.com investment is transitioning from a drag to a profitable growth engine?</w:t>
      </w:r>
    </w:p>
    <w:p>
      <w:pPr>
        <w:pStyle w:val="BodyText"/>
      </w:pPr>
      <w:r>
        <w:t xml:space="preserve">The company exited 1Q with revenue growth of 23%, adjusted EBITDA up 100% year over year, and a raised full-year EBITDA outlook. For 2Q, management guided to</w:t>
      </w:r>
      <w:r>
        <w:t xml:space="preserve"> </w:t>
      </w:r>
      <m:oMath>
        <m:r>
          <m:t>922</m:t>
        </m:r>
        <m:r>
          <m:rPr>
            <m:sty m:val="p"/>
          </m:rPr>
          <m:t>–</m:t>
        </m:r>
        <m:r>
          <m:t>932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160–180 million of adjusted EBITDA</w:t>
      </w:r>
      <w:r>
        <w:t xml:space="preserve">, and</w:t>
      </w:r>
      <w:r>
        <w:t xml:space="preserve"> </w:t>
      </w:r>
      <w:r>
        <w:rPr>
          <w:b/>
          <w:bCs/>
        </w:rPr>
        <w:t xml:space="preserve">$0.27–0.30 of adjusted EPS</w:t>
      </w:r>
      <w:r>
        <w:t xml:space="preserve">. More important than merely reaching those ranges will be the quality of the result: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Residential EBITDA must turn positive</w:t>
      </w:r>
      <w:r>
        <w:t xml:space="preserve">, as guided.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Homes.com monetization must continue to accelerate</w:t>
      </w:r>
      <w:r>
        <w:t xml:space="preserve">—particularly agent count, bookings, ARPU, and evidence that May’s pricing actions held.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Commercial growth needs to remain durable</w:t>
      </w:r>
      <w:r>
        <w:t xml:space="preserve"> </w:t>
      </w:r>
      <w:r>
        <w:t xml:space="preserve">despite a softer real-estate backdrop.</w:t>
      </w:r>
    </w:p>
    <w:p>
      <w:pPr>
        <w:pStyle w:val="Compact"/>
        <w:numPr>
          <w:ilvl w:val="0"/>
          <w:numId w:val="1001"/>
        </w:numPr>
      </w:pPr>
      <w:r>
        <w:t xml:space="preserve">Investors will want confidence that the sharply higher full-year profitability target is achievable without undermining growth investments.</w:t>
      </w:r>
    </w:p>
    <w:p>
      <w:pPr>
        <w:pStyle w:val="FirstParagraph"/>
      </w:pPr>
      <w:r>
        <w:t xml:space="preserve">The stock closed at</w:t>
      </w:r>
      <w:r>
        <w:t xml:space="preserve"> </w:t>
      </w:r>
      <w:r>
        <w:rPr>
          <w:b/>
          <w:bCs/>
        </w:rPr>
        <w:t xml:space="preserve">$29.19 on July 27</w:t>
      </w:r>
      <w:r>
        <w:t xml:space="preserve">, down roughly</w:t>
      </w:r>
      <w:r>
        <w:t xml:space="preserve"> </w:t>
      </w:r>
      <w:r>
        <w:rPr>
          <w:b/>
          <w:bCs/>
        </w:rPr>
        <w:t xml:space="preserve">19% from $36.24 immediately before 1Q earnings on April 28</w:t>
      </w:r>
      <w:r>
        <w:t xml:space="preserve">. That setup suggests the market is looking for proof—not just promises—on bookings, Homes.com unit economics, and the path to higher margins.</w:t>
      </w:r>
    </w:p>
    <w:p>
      <w:r>
        <w:pict>
          <v:rect style="width:0;height:1.5pt" o:hralign="center" o:hrstd="t" o:hr="t"/>
        </w:pict>
      </w:r>
    </w:p>
    <w:bookmarkEnd w:id="9"/>
    <w:bookmarkStart w:id="10" w:name="what-the-company-has-guided-for-2q26"/>
    <w:p>
      <w:pPr>
        <w:pStyle w:val="Heading2"/>
      </w:pPr>
      <w:r>
        <w:t xml:space="preserve">What the company has guided for 2Q26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2Q26 guidance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Midpoint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2Q25 actual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Implied YoY change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$922–932M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$927M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$781M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+19%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Commercial 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$479–484M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$482M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$446M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+8%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Residential 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$443–448M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$446M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$335M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+33%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$160–180M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$170M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$85M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+100%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17%–19%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18%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~700 bps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$0.27–0.30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$0.285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$0.17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+59%–76%</w:t>
            </w:r>
          </w:p>
        </w:tc>
      </w:tr>
    </w:tbl>
    <w:p>
      <w:pPr>
        <w:pStyle w:val="BodyText"/>
      </w:pPr>
      <w:r>
        <w:rPr>
          <w:i/>
          <w:iCs/>
        </w:rPr>
        <w:t xml:space="preserve">Source: CoStar’s 1Q26 earnings release and call, April 28, 2026.</w:t>
      </w:r>
    </w:p>
    <w:p>
      <w:pPr>
        <w:pStyle w:val="BodyText"/>
      </w:pPr>
      <w:r>
        <w:t xml:space="preserve">The revenue guide calls for continued high-teens reported growth, with</w:t>
      </w:r>
      <w:r>
        <w:t xml:space="preserve"> </w:t>
      </w:r>
      <w:r>
        <w:rPr>
          <w:b/>
          <w:bCs/>
        </w:rPr>
        <w:t xml:space="preserve">Residential the major contributor</w:t>
      </w:r>
      <w:r>
        <w:t xml:space="preserve">. The earnings debate, however, is centered on margins: the midpoint implies adjusted EBITDA margin of roughly</w:t>
      </w:r>
      <w:r>
        <w:t xml:space="preserve"> </w:t>
      </w:r>
      <w:r>
        <w:rPr>
          <w:b/>
          <w:bCs/>
        </w:rPr>
        <w:t xml:space="preserve">18.3%</w:t>
      </w:r>
      <w:r>
        <w:t xml:space="preserve">, versus about</w:t>
      </w:r>
      <w:r>
        <w:t xml:space="preserve"> </w:t>
      </w:r>
      <w:r>
        <w:rPr>
          <w:b/>
          <w:bCs/>
        </w:rPr>
        <w:t xml:space="preserve">10.9%</w:t>
      </w:r>
      <w:r>
        <w:t xml:space="preserve"> </w:t>
      </w:r>
      <w:r>
        <w:t xml:space="preserve">in 2Q25.</w:t>
      </w:r>
    </w:p>
    <w:p>
      <w:r>
        <w:pict>
          <v:rect style="width:0;height:1.5pt" o:hralign="center" o:hrstd="t" o:hr="t"/>
        </w:pict>
      </w:r>
    </w:p>
    <w:bookmarkEnd w:id="10"/>
    <w:bookmarkStart w:id="13" w:name="Xafb51fd725634050d1f17734a2f013d58122357"/>
    <w:p>
      <w:pPr>
        <w:pStyle w:val="Heading2"/>
      </w:pPr>
      <w:r>
        <w:t xml:space="preserve">The key issue: Homes.com needs to validate the investment case</w:t>
      </w:r>
    </w:p>
    <w:p>
      <w:pPr>
        <w:pStyle w:val="FirstParagraph"/>
      </w:pPr>
      <w:r>
        <w:t xml:space="preserve">Homes.com is the central swing factor for CSGP. It remains a large investment, but management has framed 2026 as the year when its residential segment reaches profitability.</w:t>
      </w:r>
    </w:p>
    <w:bookmarkStart w:id="11" w:name="what-costar-reported-in-1q"/>
    <w:p>
      <w:pPr>
        <w:pStyle w:val="Heading3"/>
      </w:pPr>
      <w:r>
        <w:t xml:space="preserve">What CoStar reported in 1Q</w:t>
      </w:r>
    </w:p>
    <w:p>
      <w:pPr>
        <w:pStyle w:val="Compact"/>
        <w:numPr>
          <w:ilvl w:val="0"/>
          <w:numId w:val="1002"/>
        </w:numPr>
      </w:pPr>
      <w:r>
        <w:t xml:space="preserve">Homes.com revenue was</w:t>
      </w:r>
      <w:r>
        <w:t xml:space="preserve"> </w:t>
      </w:r>
      <w:r>
        <w:rPr>
          <w:b/>
          <w:bCs/>
        </w:rPr>
        <w:t xml:space="preserve">$26 million</w:t>
      </w:r>
      <w:r>
        <w:t xml:space="preserve">, up</w:t>
      </w:r>
      <w:r>
        <w:t xml:space="preserve"> </w:t>
      </w:r>
      <w:r>
        <w:rPr>
          <w:b/>
          <w:bCs/>
        </w:rPr>
        <w:t xml:space="preserve">58% year over year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March annualized revenue run rate was</w:t>
      </w:r>
      <w:r>
        <w:t xml:space="preserve"> </w:t>
      </w:r>
      <w:r>
        <w:rPr>
          <w:b/>
          <w:bCs/>
        </w:rPr>
        <w:t xml:space="preserve">$106 million</w:t>
      </w:r>
      <w:r>
        <w:t xml:space="preserve">, up</w:t>
      </w:r>
      <w:r>
        <w:t xml:space="preserve"> </w:t>
      </w:r>
      <w:r>
        <w:rPr>
          <w:b/>
          <w:bCs/>
        </w:rPr>
        <w:t xml:space="preserve">92% year over year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The platform ended 1Q with</w:t>
      </w:r>
      <w:r>
        <w:t xml:space="preserve"> </w:t>
      </w:r>
      <w:r>
        <w:rPr>
          <w:b/>
          <w:bCs/>
        </w:rPr>
        <w:t xml:space="preserve">35,175 agent subscribers</w:t>
      </w:r>
      <w:r>
        <w:t xml:space="preserve">, after adding more than</w:t>
      </w:r>
      <w:r>
        <w:t xml:space="preserve"> </w:t>
      </w:r>
      <w:r>
        <w:rPr>
          <w:b/>
          <w:bCs/>
        </w:rPr>
        <w:t xml:space="preserve">4,300</w:t>
      </w:r>
      <w:r>
        <w:t xml:space="preserve"> </w:t>
      </w:r>
      <w:r>
        <w:t xml:space="preserve">members during the quarter.</w:t>
      </w:r>
    </w:p>
    <w:p>
      <w:pPr>
        <w:pStyle w:val="Compact"/>
        <w:numPr>
          <w:ilvl w:val="0"/>
          <w:numId w:val="1002"/>
        </w:numPr>
      </w:pPr>
      <w:r>
        <w:t xml:space="preserve">Homes.com generated</w:t>
      </w:r>
      <w:r>
        <w:t xml:space="preserve"> </w:t>
      </w:r>
      <w:r>
        <w:rPr>
          <w:b/>
          <w:bCs/>
        </w:rPr>
        <w:t xml:space="preserve">$11 million of net-new bookings</w:t>
      </w:r>
      <w:r>
        <w:t xml:space="preserve"> </w:t>
      </w:r>
      <w:r>
        <w:t xml:space="preserve">in 1Q.</w:t>
      </w:r>
    </w:p>
    <w:p>
      <w:pPr>
        <w:pStyle w:val="Compact"/>
        <w:numPr>
          <w:ilvl w:val="0"/>
          <w:numId w:val="1002"/>
        </w:numPr>
      </w:pPr>
      <w:r>
        <w:t xml:space="preserve">Management reported that</w:t>
      </w:r>
      <w:r>
        <w:t xml:space="preserve"> </w:t>
      </w:r>
      <w:r>
        <w:rPr>
          <w:b/>
          <w:bCs/>
        </w:rPr>
        <w:t xml:space="preserve">76% of subscribers</w:t>
      </w:r>
      <w:r>
        <w:t xml:space="preserve"> </w:t>
      </w:r>
      <w:r>
        <w:t xml:space="preserve">were on annual contracts.</w:t>
      </w:r>
    </w:p>
    <w:p>
      <w:pPr>
        <w:pStyle w:val="Compact"/>
        <w:numPr>
          <w:ilvl w:val="0"/>
          <w:numId w:val="1002"/>
        </w:numPr>
      </w:pPr>
      <w:r>
        <w:t xml:space="preserve">Homes.com increased subscription prices for new customers beginning</w:t>
      </w:r>
      <w:r>
        <w:t xml:space="preserve"> </w:t>
      </w:r>
      <w:r>
        <w:rPr>
          <w:b/>
          <w:bCs/>
        </w:rPr>
        <w:t xml:space="preserve">May 1</w:t>
      </w:r>
      <w:r>
        <w:t xml:space="preserve"> </w:t>
      </w:r>
      <w:r>
        <w:t xml:space="preserve">and indicated it would evaluate measured renewal-price increases.</w:t>
      </w:r>
    </w:p>
    <w:p>
      <w:pPr>
        <w:pStyle w:val="Compact"/>
        <w:numPr>
          <w:ilvl w:val="0"/>
          <w:numId w:val="1002"/>
        </w:numPr>
      </w:pPr>
      <w:r>
        <w:t xml:space="preserve">Residential adjusted EBITDA improved to a</w:t>
      </w:r>
      <w:r>
        <w:t xml:space="preserve"> </w:t>
      </w:r>
      <m:oMath>
        <m:r>
          <m:t>29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l</m:t>
        </m:r>
        <m:r>
          <m:t>o</m:t>
        </m:r>
        <m:r>
          <m:t>s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f</m:t>
        </m:r>
        <m:r>
          <m:t>r</m:t>
        </m:r>
        <m:r>
          <m:t>o</m:t>
        </m:r>
        <m:r>
          <m:t>m</m:t>
        </m:r>
        <m:r>
          <m:t>a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85 million loss</w:t>
      </w:r>
      <w:r>
        <w:t xml:space="preserve"> </w:t>
      </w:r>
      <w:r>
        <w:t xml:space="preserve">a year earlier; management guided Residential adjusted EBITDA to</w:t>
      </w:r>
      <w:r>
        <w:t xml:space="preserve"> </w:t>
      </w:r>
      <w:r>
        <w:rPr>
          <w:b/>
          <w:bCs/>
        </w:rPr>
        <w:t xml:space="preserve">breakeven to +$10 million</w:t>
      </w:r>
      <w:r>
        <w:t xml:space="preserve"> </w:t>
      </w:r>
      <w:r>
        <w:t xml:space="preserve">in 2Q.</w:t>
      </w:r>
    </w:p>
    <w:p>
      <w:pPr>
        <w:pStyle w:val="FirstParagraph"/>
      </w:pPr>
      <w:r>
        <w:t xml:space="preserve">The earnings release should clarify whether Homes.com’s growth is becoming more productive rather than simply more expensive. The most valuable datapoints would be: subscriber additions, annualized run-rate revenue, net-new bookings, ARPU/pricing realization, retention, and sales-force productivity.</w:t>
      </w:r>
    </w:p>
    <w:bookmarkEnd w:id="11"/>
    <w:bookmarkStart w:id="12" w:name="why-the-result-matters"/>
    <w:p>
      <w:pPr>
        <w:pStyle w:val="Heading3"/>
      </w:pPr>
      <w:r>
        <w:t xml:space="preserve">Why the result matters</w:t>
      </w:r>
    </w:p>
    <w:p>
      <w:pPr>
        <w:pStyle w:val="FirstParagraph"/>
      </w:pPr>
      <w:r>
        <w:t xml:space="preserve">Management has maintained a</w:t>
      </w:r>
      <w:r>
        <w:t xml:space="preserve"> </w:t>
      </w:r>
      <w:r>
        <w:rPr>
          <w:b/>
          <w:bCs/>
        </w:rPr>
        <w:t xml:space="preserve">$550 million net investment target for Homes.com in 2026</w:t>
      </w:r>
      <w:r>
        <w:t xml:space="preserve">, so an improvement to breakeven segment profitability in 2Q would be a meaningful signal that the broader Apartments.com/Homes.com ecosystem can absorb that spend. Conversely, a miss in Residential profitability—especially if paired with weak bookings—would likely renew concerns that monetization is lagging traffic and engagement investments.</w:t>
      </w:r>
    </w:p>
    <w:p>
      <w:r>
        <w:pict>
          <v:rect style="width:0;height:1.5pt" o:hralign="center" o:hrstd="t" o:hr="t"/>
        </w:pict>
      </w:r>
    </w:p>
    <w:bookmarkEnd w:id="12"/>
    <w:bookmarkEnd w:id="13"/>
    <w:bookmarkStart w:id="14" w:name="Xf8ae6d110b4045904341a672f7a998e1021feb8"/>
    <w:p>
      <w:pPr>
        <w:pStyle w:val="Heading2"/>
      </w:pPr>
      <w:r>
        <w:t xml:space="preserve">Commercial: solid, recurring, but investors will watch the growth rate</w:t>
      </w:r>
    </w:p>
    <w:p>
      <w:pPr>
        <w:pStyle w:val="FirstParagraph"/>
      </w:pPr>
      <w:r>
        <w:t xml:space="preserve">Commercial Real Estate generated</w:t>
      </w:r>
      <w:r>
        <w:t xml:space="preserve"> </w:t>
      </w:r>
      <m:oMath>
        <m:r>
          <m:t>472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f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t>i</m:t>
        </m:r>
        <m:r>
          <m:t>n</m:t>
        </m:r>
        <m:r>
          <m:t>1</m:t>
        </m:r>
        <m:r>
          <m:t>Q</m:t>
        </m:r>
        <m:r>
          <m:rPr>
            <m:sty m:val="p"/>
          </m:rPr>
          <m:t>,</m:t>
        </m:r>
        <m:r>
          <m:t>u</m:t>
        </m:r>
        <m:r>
          <m:t>p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15</m:t>
        </m:r>
      </m:oMath>
      <w:r>
        <w:rPr>
          <w:b/>
          <w:bCs/>
        </w:rPr>
        <w:t xml:space="preserve">161 million</w:t>
      </w:r>
      <w:r>
        <w:t xml:space="preserve"> </w:t>
      </w:r>
      <w:r>
        <w:t xml:space="preserve">and a 34% margin. For 2Q, the company guided commercial revenue to</w:t>
      </w:r>
      <w:r>
        <w:t xml:space="preserve"> </w:t>
      </w:r>
      <w:r>
        <w:rPr>
          <w:b/>
          <w:bCs/>
        </w:rPr>
        <w:t xml:space="preserve">$479–484 million</w:t>
      </w:r>
      <w:r>
        <w:t xml:space="preserve">, or 7–9% year-over-year growth.</w:t>
      </w:r>
    </w:p>
    <w:p>
      <w:pPr>
        <w:pStyle w:val="BodyText"/>
      </w:pPr>
      <w:r>
        <w:t xml:space="preserve">Key sub-businesses to watch: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CoStar:</w:t>
      </w:r>
      <w:r>
        <w:t xml:space="preserve"> </w:t>
      </w:r>
      <w:r>
        <w:t xml:space="preserve">1Q revenue grew 9%. Management cited strong broker and tenant sales and accelerating international growth. The summer launch of CoStar Rent Benchmark and new-homes functionality could support product expansion.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LoopNet:</w:t>
      </w:r>
      <w:r>
        <w:t xml:space="preserve"> </w:t>
      </w:r>
      <w:r>
        <w:t xml:space="preserve">1Q revenue rose 16%; the nationwide rollout of asset-based pricing in the U.S. began late in 1Q. This is a potential upside lever if it increases paid inventory and pricing realization without damaging conversion.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Matterport:</w:t>
      </w:r>
      <w:r>
        <w:t xml:space="preserve"> </w:t>
      </w:r>
      <w:r>
        <w:t xml:space="preserve">subscription revenue grew 19% in 1Q. The strategic importance is greater than its standalone revenue: CoStar is embedding Matterport capabilities across Homes.com, Apartments.com, LoopNet, and Domain to improve engagement and listing conversion.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Apartments.com:</w:t>
      </w:r>
      <w:r>
        <w:t xml:space="preserve"> </w:t>
      </w:r>
      <w:r>
        <w:t xml:space="preserve">1Q revenue grew 10%, maintaining its 15th straight quarter of double-digit growth. Still, management acknowledged soft overall rental-search demand, and recent rooftop wins from distressed Rent.com/ApartmentGuide inventory may carry lower ARPU. The balance between customer/rooftop volume and monetization is important.</w:t>
      </w:r>
    </w:p>
    <w:p>
      <w:pPr>
        <w:pStyle w:val="FirstParagraph"/>
      </w:pPr>
      <w:r>
        <w:t xml:space="preserve">Commercial growth in line with guidance is likely acceptable; a reacceleration in CoStar or Apartments.com, or stronger-than-expected LoopNet price realization, would improve the narrative.</w:t>
      </w:r>
    </w:p>
    <w:p>
      <w:r>
        <w:pict>
          <v:rect style="width:0;height:1.5pt" o:hralign="center" o:hrstd="t" o:hr="t"/>
        </w:pict>
      </w:r>
    </w:p>
    <w:bookmarkEnd w:id="14"/>
    <w:bookmarkStart w:id="15" w:name="X4c7863bebd26cbb34569c8053ce495cdca9c663"/>
    <w:p>
      <w:pPr>
        <w:pStyle w:val="Heading2"/>
      </w:pPr>
      <w:r>
        <w:t xml:space="preserve">Bookings are the potential pressure point</w:t>
      </w:r>
    </w:p>
    <w:p>
      <w:pPr>
        <w:pStyle w:val="FirstParagraph"/>
      </w:pPr>
      <w:r>
        <w:t xml:space="preserve">CoStar reported</w:t>
      </w:r>
      <w:r>
        <w:t xml:space="preserve"> </w:t>
      </w:r>
      <w:r>
        <w:rPr>
          <w:b/>
          <w:bCs/>
        </w:rPr>
        <w:t xml:space="preserve">$67 million of annualized net-new bookings</w:t>
      </w:r>
      <w:r>
        <w:t xml:space="preserve"> </w:t>
      </w:r>
      <w:r>
        <w:t xml:space="preserve">in 1Q, up 20% year over year but sequentially lower for a third straight quarter. Management argued that seasonality matters—2Q is historically its strongest bookings period, helped by the Apartmentalize industry event—and that the sales-force expansion during 2025 should increasingly support productivity.</w:t>
      </w:r>
    </w:p>
    <w:p>
      <w:pPr>
        <w:pStyle w:val="BodyText"/>
      </w:pPr>
      <w:r>
        <w:t xml:space="preserve">Investors are likely to focus heavily on whether 2Q bookings show the anticipated seasonal step-up.</w:t>
      </w:r>
    </w:p>
    <w:p>
      <w:pPr>
        <w:pStyle w:val="BodyText"/>
      </w:pPr>
      <w:r>
        <w:rPr>
          <w:b/>
          <w:bCs/>
        </w:rPr>
        <w:t xml:space="preserve">Constructive outcome</w:t>
      </w:r>
    </w:p>
    <w:p>
      <w:pPr>
        <w:pStyle w:val="Compact"/>
        <w:numPr>
          <w:ilvl w:val="0"/>
          <w:numId w:val="1004"/>
        </w:numPr>
      </w:pPr>
      <w:r>
        <w:t xml:space="preserve">Meaningful sequential improvement in total net-new bookings;</w:t>
      </w:r>
    </w:p>
    <w:p>
      <w:pPr>
        <w:pStyle w:val="Compact"/>
        <w:numPr>
          <w:ilvl w:val="0"/>
          <w:numId w:val="1004"/>
        </w:numPr>
      </w:pPr>
      <w:r>
        <w:t xml:space="preserve">Further acceleration in Homes.com bookings;</w:t>
      </w:r>
    </w:p>
    <w:p>
      <w:pPr>
        <w:pStyle w:val="Compact"/>
        <w:numPr>
          <w:ilvl w:val="0"/>
          <w:numId w:val="1004"/>
        </w:numPr>
      </w:pPr>
      <w:r>
        <w:t xml:space="preserve">Evidence that field-sales additions and Homes.com pricing are improving productivity.</w:t>
      </w:r>
    </w:p>
    <w:p>
      <w:pPr>
        <w:pStyle w:val="FirstParagraph"/>
      </w:pPr>
      <w:r>
        <w:rPr>
          <w:b/>
          <w:bCs/>
        </w:rPr>
        <w:t xml:space="preserve">Concerning outcome</w:t>
      </w:r>
    </w:p>
    <w:p>
      <w:pPr>
        <w:pStyle w:val="Compact"/>
        <w:numPr>
          <w:ilvl w:val="0"/>
          <w:numId w:val="1005"/>
        </w:numPr>
      </w:pPr>
      <w:r>
        <w:t xml:space="preserve">Another weak or sequentially declining bookings figure;</w:t>
      </w:r>
    </w:p>
    <w:p>
      <w:pPr>
        <w:pStyle w:val="Compact"/>
        <w:numPr>
          <w:ilvl w:val="0"/>
          <w:numId w:val="1005"/>
        </w:numPr>
      </w:pPr>
      <w:r>
        <w:t xml:space="preserve">Slow agent additions or limited pricing contribution at Homes.com;</w:t>
      </w:r>
    </w:p>
    <w:p>
      <w:pPr>
        <w:pStyle w:val="Compact"/>
        <w:numPr>
          <w:ilvl w:val="0"/>
          <w:numId w:val="1005"/>
        </w:numPr>
      </w:pPr>
      <w:r>
        <w:t xml:space="preserve">Commentary that sales-force ramping will take longer than expected.</w:t>
      </w:r>
    </w:p>
    <w:p>
      <w:pPr>
        <w:pStyle w:val="FirstParagraph"/>
      </w:pPr>
      <w:r>
        <w:t xml:space="preserve">Bookings do not translate one-for-one or immediately into reported revenue, but they are an important indicator of the subscription growth required to support CoStar’s medium-term growth algorithm.</w:t>
      </w:r>
    </w:p>
    <w:p>
      <w:r>
        <w:pict>
          <v:rect style="width:0;height:1.5pt" o:hralign="center" o:hrstd="t" o:hr="t"/>
        </w:pict>
      </w:r>
    </w:p>
    <w:bookmarkEnd w:id="15"/>
    <w:bookmarkStart w:id="16" w:name="X7c1dfa209466eff83ee40302193f1b7e0e708ae"/>
    <w:p>
      <w:pPr>
        <w:pStyle w:val="Heading2"/>
      </w:pPr>
      <w:r>
        <w:t xml:space="preserve">Full-year guidance: the bar is higher on EBITDA than revenue</w:t>
      </w:r>
    </w:p>
    <w:p>
      <w:pPr>
        <w:pStyle w:val="FirstParagraph"/>
      </w:pPr>
      <w:r>
        <w:t xml:space="preserve">In 1Q, CoStar maintained its full-year revenue guidance of</w:t>
      </w:r>
      <w:r>
        <w:t xml:space="preserve"> </w:t>
      </w:r>
      <m:oMath>
        <m:r>
          <m:t>3.78</m:t>
        </m:r>
        <m:r>
          <m:rPr>
            <m:sty m:val="p"/>
          </m:rPr>
          <m:t>–</m:t>
        </m:r>
        <m:r>
          <m:t>3.82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b</m:t>
        </m:r>
        <m:r>
          <m:t>u</m:t>
        </m:r>
        <m:r>
          <m:t>t</m:t>
        </m:r>
        <m:r>
          <m:t>r</m:t>
        </m:r>
        <m:r>
          <m:t>a</m:t>
        </m:r>
        <m:r>
          <m:t>i</m:t>
        </m:r>
        <m:r>
          <m:t>s</m:t>
        </m:r>
        <m:r>
          <m:t>e</m:t>
        </m:r>
        <m:r>
          <m:t>d</m:t>
        </m:r>
        <m:r>
          <m:t>a</m:t>
        </m:r>
        <m:r>
          <m:t>d</m:t>
        </m:r>
        <m:r>
          <m:t>j</m:t>
        </m:r>
        <m:r>
          <m:t>u</m:t>
        </m:r>
        <m:r>
          <m:t>s</m:t>
        </m:r>
        <m:r>
          <m:t>t</m:t>
        </m:r>
        <m:r>
          <m:t>e</m:t>
        </m:r>
        <m:r>
          <m:t>d</m:t>
        </m:r>
        <m:r>
          <m:t>E</m:t>
        </m:r>
        <m:r>
          <m:t>B</m:t>
        </m:r>
        <m:r>
          <m:t>I</m:t>
        </m:r>
        <m:r>
          <m:t>T</m:t>
        </m:r>
        <m:r>
          <m:t>D</m:t>
        </m:r>
        <m:r>
          <m:t>A</m:t>
        </m:r>
        <m:r>
          <m:t>g</m:t>
        </m:r>
        <m:r>
          <m:t>u</m:t>
        </m:r>
        <m:r>
          <m:t>i</m:t>
        </m:r>
        <m:r>
          <m:t>d</m:t>
        </m:r>
        <m:r>
          <m:t>a</m:t>
        </m:r>
        <m:r>
          <m:t>n</m:t>
        </m:r>
        <m:r>
          <m:t>c</m:t>
        </m:r>
        <m:r>
          <m:t>e</m:t>
        </m:r>
        <m:r>
          <m:t>t</m:t>
        </m:r>
        <m:r>
          <m:t>o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780–820 million</w:t>
      </w:r>
      <w:r>
        <w:t xml:space="preserve">, from a prior midpoint that was</w:t>
      </w:r>
      <w:r>
        <w:t xml:space="preserve"> </w:t>
      </w:r>
      <m:oMath>
        <m:r>
          <m:t>30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l</m:t>
        </m:r>
        <m:r>
          <m:t>o</m:t>
        </m:r>
        <m:r>
          <m:t>w</m:t>
        </m:r>
        <m:r>
          <m:t>e</m:t>
        </m:r>
        <m:r>
          <m:t>r</m:t>
        </m:r>
        <m:r>
          <m:rPr>
            <m:sty m:val="p"/>
          </m:rPr>
          <m:t>.</m:t>
        </m:r>
        <m:r>
          <m:t>F</m:t>
        </m:r>
        <m:r>
          <m:t>u</m:t>
        </m:r>
        <m:r>
          <m:t>l</m:t>
        </m:r>
        <m:r>
          <m:t>l</m:t>
        </m:r>
        <m:r>
          <m:rPr>
            <m:sty m:val="p"/>
          </m:rPr>
          <m:t>−</m:t>
        </m:r>
        <m:r>
          <m:t>y</m:t>
        </m:r>
        <m:r>
          <m:t>e</m:t>
        </m:r>
        <m:r>
          <m:t>a</m:t>
        </m:r>
        <m:r>
          <m:t>r</m:t>
        </m:r>
        <m:r>
          <m:t>a</m:t>
        </m:r>
        <m:r>
          <m:t>d</m:t>
        </m:r>
        <m:r>
          <m:t>j</m:t>
        </m:r>
        <m:r>
          <m:t>u</m:t>
        </m:r>
        <m:r>
          <m:t>s</m:t>
        </m:r>
        <m:r>
          <m:t>t</m:t>
        </m:r>
        <m:r>
          <m:t>e</m:t>
        </m:r>
        <m:r>
          <m:t>d</m:t>
        </m:r>
        <m:r>
          <m:t>E</m:t>
        </m:r>
        <m:r>
          <m:t>P</m:t>
        </m:r>
        <m:r>
          <m:t>S</m:t>
        </m:r>
        <m:r>
          <m:t>g</m:t>
        </m:r>
        <m:r>
          <m:t>u</m:t>
        </m:r>
        <m:r>
          <m:t>i</m:t>
        </m:r>
        <m:r>
          <m:t>d</m:t>
        </m:r>
        <m:r>
          <m:t>a</m:t>
        </m:r>
        <m:r>
          <m:t>n</m:t>
        </m:r>
        <m:r>
          <m:t>c</m:t>
        </m:r>
        <m:r>
          <m:t>e</m:t>
        </m:r>
        <m:r>
          <m:t>i</m:t>
        </m:r>
        <m:r>
          <m:t>n</m:t>
        </m:r>
        <m:r>
          <m:t>c</m:t>
        </m:r>
        <m:r>
          <m:t>r</m:t>
        </m:r>
        <m:r>
          <m:t>e</m:t>
        </m:r>
        <m:r>
          <m:t>a</m:t>
        </m:r>
        <m:r>
          <m:t>s</m:t>
        </m:r>
        <m:r>
          <m:t>e</m:t>
        </m:r>
        <m:r>
          <m:t>d</m:t>
        </m:r>
        <m:r>
          <m:t>t</m:t>
        </m:r>
        <m:r>
          <m:t>o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1.32–1.39**.</w:t>
      </w:r>
    </w:p>
    <w:p>
      <w:pPr>
        <w:pStyle w:val="BodyText"/>
      </w:pPr>
      <w:r>
        <w:t xml:space="preserve">At the midpoint, the company’s guidance implies: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2H26 revenue of roughly $1.98 billion</w:t>
      </w:r>
      <w:r>
        <w:t xml:space="preserve">, about 14% growth versus 2H25.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2H26 adjusted EBITDA of roughly $498 million</w:t>
      </w:r>
      <w:r>
        <w:t xml:space="preserve">, about 71% above 2H25.</w:t>
      </w:r>
    </w:p>
    <w:p>
      <w:pPr>
        <w:pStyle w:val="Compact"/>
        <w:numPr>
          <w:ilvl w:val="0"/>
          <w:numId w:val="1006"/>
        </w:numPr>
      </w:pPr>
      <w:r>
        <w:t xml:space="preserve">A second-half adjusted EBITDA margin of approximately</w:t>
      </w:r>
      <w:r>
        <w:t xml:space="preserve"> </w:t>
      </w:r>
      <w:r>
        <w:rPr>
          <w:b/>
          <w:bCs/>
        </w:rPr>
        <w:t xml:space="preserve">25%</w:t>
      </w:r>
      <w:r>
        <w:t xml:space="preserve">, versus about 17% in 2H25.</w:t>
      </w:r>
    </w:p>
    <w:p>
      <w:pPr>
        <w:pStyle w:val="FirstParagraph"/>
      </w:pPr>
      <w:r>
        <w:t xml:space="preserve">That creates a high bar for the back half. While some of the improvement is expected to come from Residential turning profitable, personnel efficiencies, sales-force maturation, and operating leverage, investors will likely scrutinize whether management</w:t>
      </w:r>
      <w:r>
        <w:t xml:space="preserve"> </w:t>
      </w:r>
      <w:r>
        <w:rPr>
          <w:b/>
          <w:bCs/>
        </w:rPr>
        <w:t xml:space="preserve">reaffirms</w:t>
      </w:r>
      <w:r>
        <w:t xml:space="preserve"> </w:t>
      </w:r>
      <w:r>
        <w:t xml:space="preserve">the full-year EBITDA target and explains the cadence of margin expansion.</w:t>
      </w:r>
    </w:p>
    <w:p>
      <w:r>
        <w:pict>
          <v:rect style="width:0;height:1.5pt" o:hralign="center" o:hrstd="t" o:hr="t"/>
        </w:pict>
      </w:r>
    </w:p>
    <w:bookmarkEnd w:id="16"/>
    <w:bookmarkStart w:id="17" w:name="capital-allocation-and-balance-sheet"/>
    <w:p>
      <w:pPr>
        <w:pStyle w:val="Heading2"/>
      </w:pPr>
      <w:r>
        <w:t xml:space="preserve">Capital allocation and balance sheet</w:t>
      </w:r>
    </w:p>
    <w:p>
      <w:pPr>
        <w:pStyle w:val="FirstParagraph"/>
      </w:pPr>
      <w:r>
        <w:t xml:space="preserve">CoStar finished 1Q with approximately</w:t>
      </w:r>
      <w:r>
        <w:t xml:space="preserve"> </w:t>
      </w:r>
      <m:oMath>
        <m:r>
          <m:t>1.2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c</m:t>
        </m:r>
        <m:r>
          <m:t>a</m:t>
        </m:r>
        <m:r>
          <m:t>s</m:t>
        </m:r>
        <m:r>
          <m:t>h</m:t>
        </m:r>
        <m:r>
          <m:t>a</m:t>
        </m:r>
        <m:r>
          <m:t>n</m:t>
        </m:r>
        <m:r>
          <m:t>d</m:t>
        </m:r>
        <m:r>
          <m:t>c</m:t>
        </m:r>
        <m:r>
          <m:t>a</m:t>
        </m:r>
        <m:r>
          <m:t>s</m:t>
        </m:r>
        <m:r>
          <m:t>h</m:t>
        </m:r>
        <m:r>
          <m:t>e</m:t>
        </m:r>
        <m:r>
          <m:t>q</m:t>
        </m:r>
        <m:r>
          <m:t>u</m:t>
        </m:r>
        <m:r>
          <m:t>i</m:t>
        </m:r>
        <m:r>
          <m:t>v</m:t>
        </m:r>
        <m:r>
          <m:t>a</m:t>
        </m:r>
        <m:r>
          <m:t>l</m:t>
        </m:r>
        <m:r>
          <m:t>e</m:t>
        </m:r>
        <m:r>
          <m:t>n</m:t>
        </m:r>
        <m:r>
          <m:t>t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994 million of long-term debt</w:t>
      </w:r>
      <w:r>
        <w:t xml:space="preserve">. It repurchased</w:t>
      </w:r>
      <w:r>
        <w:t xml:space="preserve"> </w:t>
      </w:r>
      <m:oMath>
        <m:r>
          <m:t>505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f</m:t>
        </m:r>
        <m:r>
          <m:t>s</m:t>
        </m:r>
        <m:r>
          <m:t>t</m:t>
        </m:r>
        <m:r>
          <m:t>o</m:t>
        </m:r>
        <m:r>
          <m:t>c</m:t>
        </m:r>
        <m:r>
          <m:t>k</m:t>
        </m:r>
        <m:r>
          <m:t>i</m:t>
        </m:r>
        <m:r>
          <m:t>n</m:t>
        </m:r>
        <m:r>
          <m:t>1</m:t>
        </m:r>
        <m:r>
          <m:t>Q</m:t>
        </m:r>
        <m:r>
          <m:rPr>
            <m:sty m:val="p"/>
          </m:rPr>
          <m:t>,</m:t>
        </m:r>
        <m:r>
          <m:t>i</m:t>
        </m:r>
        <m:r>
          <m:t>n</m:t>
        </m:r>
        <m:r>
          <m:t>c</m:t>
        </m:r>
        <m:r>
          <m:t>l</m:t>
        </m:r>
        <m:r>
          <m:t>u</m:t>
        </m:r>
        <m:r>
          <m:t>d</m:t>
        </m:r>
        <m:r>
          <m:t>i</m:t>
        </m:r>
        <m:r>
          <m:t>n</m:t>
        </m:r>
        <m:r>
          <m:t>g</m:t>
        </m:r>
        <m:r>
          <m:t>t</m:t>
        </m:r>
        <m:r>
          <m:t>h</m:t>
        </m:r>
        <m:r>
          <m:t>e</m:t>
        </m:r>
        <m:r>
          <m:t>b</m:t>
        </m:r>
        <m:r>
          <m:t>u</m:t>
        </m:r>
        <m:r>
          <m:t>l</m:t>
        </m:r>
        <m:r>
          <m:t>k</m:t>
        </m:r>
        <m:r>
          <m:t>o</m:t>
        </m:r>
        <m:r>
          <m:t>f</m:t>
        </m:r>
        <m:r>
          <m:t>a</m:t>
        </m:r>
        <m:r>
          <m:t>n</m:t>
        </m:r>
        <m:r>
          <m:t>a</m:t>
        </m:r>
        <m:r>
          <m:t>c</m:t>
        </m:r>
        <m:r>
          <m:t>c</m:t>
        </m:r>
        <m:r>
          <m:t>e</m:t>
        </m:r>
        <m:r>
          <m:t>l</m:t>
        </m:r>
        <m:r>
          <m:t>e</m:t>
        </m:r>
        <m:r>
          <m:t>r</m:t>
        </m:r>
        <m:r>
          <m:t>a</m:t>
        </m:r>
        <m:r>
          <m:t>t</m:t>
        </m:r>
        <m:r>
          <m:t>e</m:t>
        </m:r>
        <m:r>
          <m:t>d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t>r</m:t>
        </m:r>
        <m:r>
          <m:t>e</m:t>
        </m:r>
        <m:r>
          <m:t>p</m:t>
        </m:r>
        <m:r>
          <m:t>u</m:t>
        </m:r>
        <m:r>
          <m:t>r</m:t>
        </m:r>
        <m:r>
          <m:t>c</m:t>
        </m:r>
        <m:r>
          <m:t>h</m:t>
        </m:r>
        <m:r>
          <m:t>a</m:t>
        </m:r>
        <m:r>
          <m:t>s</m:t>
        </m:r>
        <m:r>
          <m:t>e</m:t>
        </m:r>
        <m:r>
          <m:rPr>
            <m:sty m:val="p"/>
          </m:rPr>
          <m:t>,</m:t>
        </m:r>
        <m:r>
          <m:t>r</m:t>
        </m:r>
        <m:r>
          <m:t>e</m:t>
        </m:r>
        <m:r>
          <m:t>t</m:t>
        </m:r>
        <m:r>
          <m:t>i</m:t>
        </m:r>
        <m:r>
          <m:t>r</m:t>
        </m:r>
        <m:r>
          <m:t>i</m:t>
        </m:r>
        <m:r>
          <m:t>n</m:t>
        </m:r>
        <m:r>
          <m:t>g</m:t>
        </m:r>
        <m:r>
          <m:t>11.4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t>s</m:t>
        </m:r>
        <m:r>
          <m:rPr>
            <m:sty m:val="p"/>
          </m:rPr>
          <m:t>.</m:t>
        </m:r>
        <m:r>
          <m:t>M</m:t>
        </m:r>
        <m:r>
          <m:t>a</m:t>
        </m:r>
        <m:r>
          <m:t>n</m:t>
        </m:r>
        <m:r>
          <m:t>a</m:t>
        </m:r>
        <m:r>
          <m:t>g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t>e</m:t>
        </m:r>
        <m:r>
          <m:t>x</m:t>
        </m:r>
        <m:r>
          <m:t>p</m:t>
        </m:r>
        <m:r>
          <m:t>e</m:t>
        </m:r>
        <m:r>
          <m:t>c</m:t>
        </m:r>
        <m:r>
          <m:t>t</m:t>
        </m:r>
        <m:r>
          <m:t>e</m:t>
        </m:r>
        <m:r>
          <m:t>d</m:t>
        </m:r>
        <m:r>
          <m:t>a</m:t>
        </m:r>
        <m:r>
          <m:t>f</m:t>
        </m:r>
        <m:r>
          <m:t>u</m:t>
        </m:r>
        <m:r>
          <m:t>r</m:t>
        </m:r>
        <m:r>
          <m:t>t</m:t>
        </m:r>
        <m:r>
          <m:t>h</m:t>
        </m:r>
        <m:r>
          <m:t>e</m:t>
        </m:r>
        <m:r>
          <m:t>r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195 million</w:t>
      </w:r>
      <w:r>
        <w:t xml:space="preserve"> </w:t>
      </w:r>
      <w:r>
        <w:t xml:space="preserve">of repurchases over the remaining nine months of 2026.</w:t>
      </w:r>
    </w:p>
    <w:p>
      <w:pPr>
        <w:pStyle w:val="BodyText"/>
      </w:pPr>
      <w:r>
        <w:t xml:space="preserve">The buyback is supportive of adjusted EPS, but it also raises the importance of sustained operating cash generation and disciplined spending while Homes.com continues to consume investment dollars.</w:t>
      </w:r>
    </w:p>
    <w:p>
      <w:r>
        <w:pict>
          <v:rect style="width:0;height:1.5pt" o:hralign="center" o:hrstd="t" o:hr="t"/>
        </w:pict>
      </w:r>
    </w:p>
    <w:bookmarkEnd w:id="17"/>
    <w:bookmarkStart w:id="18" w:name="X49eb95a700b8d48f9950411efd0b1fd1c3fba24"/>
    <w:p>
      <w:pPr>
        <w:pStyle w:val="Heading2"/>
      </w:pPr>
      <w:r>
        <w:t xml:space="preserve">Management transition is an additional call-item</w:t>
      </w:r>
    </w:p>
    <w:p>
      <w:pPr>
        <w:pStyle w:val="FirstParagraph"/>
      </w:pPr>
      <w:r>
        <w:t xml:space="preserve">On</w:t>
      </w:r>
      <w:r>
        <w:t xml:space="preserve"> </w:t>
      </w:r>
      <w:r>
        <w:rPr>
          <w:b/>
          <w:bCs/>
        </w:rPr>
        <w:t xml:space="preserve">July 13, 2026</w:t>
      </w:r>
      <w:r>
        <w:t xml:space="preserve">, CoStar announced that CFO</w:t>
      </w:r>
      <w:r>
        <w:t xml:space="preserve"> </w:t>
      </w:r>
      <w:r>
        <w:rPr>
          <w:b/>
          <w:bCs/>
        </w:rPr>
        <w:t xml:space="preserve">Christian Lown</w:t>
      </w:r>
      <w:r>
        <w:t xml:space="preserve"> </w:t>
      </w:r>
      <w:r>
        <w:t xml:space="preserve">will step down effective</w:t>
      </w:r>
      <w:r>
        <w:t xml:space="preserve"> </w:t>
      </w:r>
      <w:r>
        <w:rPr>
          <w:b/>
          <w:bCs/>
        </w:rPr>
        <w:t xml:space="preserve">July 31, 2026</w:t>
      </w:r>
      <w:r>
        <w:t xml:space="preserve">.</w:t>
      </w:r>
      <w:r>
        <w:t xml:space="preserve"> </w:t>
      </w:r>
      <w:r>
        <w:rPr>
          <w:b/>
          <w:bCs/>
        </w:rPr>
        <w:t xml:space="preserve">Robin Rossmann</w:t>
      </w:r>
      <w:r>
        <w:t xml:space="preserve">, formerly Managing Director of Europe, will become CFO. The company emphasized Rossmann’s record of reducing the European cost structure by approximately $51 million while producing double-digit revenue growth.</w:t>
      </w:r>
    </w:p>
    <w:p>
      <w:pPr>
        <w:pStyle w:val="BodyText"/>
      </w:pPr>
      <w:r>
        <w:t xml:space="preserve">The timing means investors will likely seek reassurance on:</w:t>
      </w:r>
    </w:p>
    <w:p>
      <w:pPr>
        <w:pStyle w:val="Compact"/>
        <w:numPr>
          <w:ilvl w:val="0"/>
          <w:numId w:val="1007"/>
        </w:numPr>
      </w:pPr>
      <w:r>
        <w:t xml:space="preserve">continuity of the 2026 outlook and long-term margin framework;</w:t>
      </w:r>
    </w:p>
    <w:p>
      <w:pPr>
        <w:pStyle w:val="Compact"/>
        <w:numPr>
          <w:ilvl w:val="0"/>
          <w:numId w:val="1007"/>
        </w:numPr>
      </w:pPr>
      <w:r>
        <w:t xml:space="preserve">capital-allocation priorities, including the buyback;</w:t>
      </w:r>
    </w:p>
    <w:p>
      <w:pPr>
        <w:pStyle w:val="Compact"/>
        <w:numPr>
          <w:ilvl w:val="0"/>
          <w:numId w:val="1007"/>
        </w:numPr>
      </w:pPr>
      <w:r>
        <w:t xml:space="preserve">the degree to which cost-efficiency initiatives are embedded versus dependent on individual leadership.</w:t>
      </w:r>
    </w:p>
    <w:p>
      <w:pPr>
        <w:pStyle w:val="FirstParagraph"/>
      </w:pPr>
      <w:r>
        <w:t xml:space="preserve">Management stated that Lown’s departure was not due to a disagreement regarding company operations, policies, or practices. Still, a CFO change immediately around earnings adds an avoidable uncertainty to the event.</w:t>
      </w:r>
    </w:p>
    <w:p>
      <w:r>
        <w:pict>
          <v:rect style="width:0;height:1.5pt" o:hralign="center" o:hrstd="t" o:hr="t"/>
        </w:pict>
      </w:r>
    </w:p>
    <w:bookmarkEnd w:id="18"/>
    <w:bookmarkStart w:id="19" w:name="what-matters-most-on-the-call"/>
    <w:p>
      <w:pPr>
        <w:pStyle w:val="Heading2"/>
      </w:pPr>
      <w:r>
        <w:t xml:space="preserve">What matters most on the call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Residential adjusted EBITDA:</w:t>
      </w:r>
      <w:r>
        <w:t xml:space="preserve"> </w:t>
      </w:r>
      <w:r>
        <w:t xml:space="preserve">Did it reach the guided breakeven-to-$10 million range?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Homes.com KPIs:</w:t>
      </w:r>
      <w:r>
        <w:t xml:space="preserve"> </w:t>
      </w:r>
      <w:r>
        <w:t xml:space="preserve">Subscriber additions, ARPU, bookings, annualized revenue run rate, retention, and the early impact of higher pricing.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Total net-new bookings:</w:t>
      </w:r>
      <w:r>
        <w:t xml:space="preserve"> </w:t>
      </w:r>
      <w:r>
        <w:t xml:space="preserve">Is there a normal seasonal acceleration from 1Q’s $67 million?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Apartments.com monetization:</w:t>
      </w:r>
      <w:r>
        <w:t xml:space="preserve"> </w:t>
      </w:r>
      <w:r>
        <w:t xml:space="preserve">Can it sustain double-digit growth despite softer rental-search demand and lower-ARPU rooftop additions?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LoopNet pricing:</w:t>
      </w:r>
      <w:r>
        <w:t xml:space="preserve"> </w:t>
      </w:r>
      <w:r>
        <w:t xml:space="preserve">Are asset-based pricing changes producing better paid-listing volume and monetization?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Full-year EBITDA guidance:</w:t>
      </w:r>
      <w:r>
        <w:t xml:space="preserve"> </w:t>
      </w:r>
      <w:r>
        <w:t xml:space="preserve">A reaffirmation is the baseline; an increase would be a meaningful upside signal.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Margin cadence:</w:t>
      </w:r>
      <w:r>
        <w:t xml:space="preserve"> </w:t>
      </w:r>
      <w:r>
        <w:t xml:space="preserve">What specifically drives the implied sharp second-half margin improvement?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CFO transition:</w:t>
      </w:r>
      <w:r>
        <w:t xml:space="preserve"> </w:t>
      </w:r>
      <w:r>
        <w:t xml:space="preserve">Is the new CFO aligned with current financial targets, cost discipline, buybacks, and Homes.com investment levels?</w:t>
      </w:r>
    </w:p>
    <w:p>
      <w:r>
        <w:pict>
          <v:rect style="width:0;height:1.5pt" o:hralign="center" o:hrstd="t" o:hr="t"/>
        </w:pict>
      </w:r>
    </w:p>
    <w:bookmarkEnd w:id="19"/>
    <w:bookmarkStart w:id="21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CSGP’s 2Q report is less about whether it can meet a high-teens revenue-growth target and more about whether it can</w:t>
      </w:r>
      <w:r>
        <w:t xml:space="preserve"> </w:t>
      </w:r>
      <w:r>
        <w:rPr>
          <w:b/>
          <w:bCs/>
        </w:rPr>
        <w:t xml:space="preserve">convert that growth into credible, durable margin expansion</w:t>
      </w:r>
      <w:r>
        <w:t xml:space="preserve">.</w:t>
      </w:r>
    </w:p>
    <w:p>
      <w:pPr>
        <w:pStyle w:val="BodyText"/>
      </w:pPr>
      <w:r>
        <w:t xml:space="preserve">A favorable report would feature revenue and EBITDA at or above the upper end of guidance, positive Residential adjusted EBITDA, a clear sequential recovery in bookings, and strong evidence that Homes.com price increases and sales-force investments are improving monetization. Such an outcome would validate management’s claim that 2026 marks the transition from investment-heavy growth to profitable scaling.</w:t>
      </w:r>
    </w:p>
    <w:p>
      <w:pPr>
        <w:pStyle w:val="BodyText"/>
      </w:pPr>
      <w:r>
        <w:t xml:space="preserve">The downside risk is a more familiar combination: growth that remains intact but bookings disappoint, Homes.com’s economics fail to improve fast enough, or management’s explanation of the large second-half EBITDA step-up lacks conviction. Given the stock’s decline into the report and the CFO transition, investors are likely to reward tangible execution rather than aspirational engagement metrics alone.</w:t>
      </w:r>
    </w:p>
    <w:bookmarkStart w:id="20" w:name="sources"/>
    <w:p>
      <w:pPr>
        <w:pStyle w:val="Heading3"/>
      </w:pPr>
      <w:r>
        <w:t xml:space="preserve">Sources</w:t>
      </w:r>
    </w:p>
    <w:p>
      <w:pPr>
        <w:pStyle w:val="Compact"/>
        <w:numPr>
          <w:ilvl w:val="0"/>
          <w:numId w:val="1009"/>
        </w:numPr>
      </w:pPr>
      <w:r>
        <w:t xml:space="preserve">CoStar Group 1Q26 earnings release, April 28, 2026.</w:t>
      </w:r>
    </w:p>
    <w:p>
      <w:pPr>
        <w:pStyle w:val="Compact"/>
        <w:numPr>
          <w:ilvl w:val="0"/>
          <w:numId w:val="1009"/>
        </w:numPr>
      </w:pPr>
      <w:r>
        <w:t xml:space="preserve">CoStar Group 1Q26 earnings-call transcript, April 28, 2026.</w:t>
      </w:r>
    </w:p>
    <w:p>
      <w:pPr>
        <w:pStyle w:val="Compact"/>
        <w:numPr>
          <w:ilvl w:val="0"/>
          <w:numId w:val="1009"/>
        </w:numPr>
      </w:pPr>
      <w:r>
        <w:t xml:space="preserve">CoStar Group CFO-transition announcement, July 13, 2026.</w:t>
      </w:r>
    </w:p>
    <w:p>
      <w:pPr>
        <w:pStyle w:val="Compact"/>
        <w:numPr>
          <w:ilvl w:val="0"/>
          <w:numId w:val="1009"/>
        </w:numPr>
      </w:pPr>
      <w:r>
        <w:t xml:space="preserve">CSGP historical closing-price data through July 27, 2026.</w:t>
      </w:r>
    </w:p>
    <w:bookmarkEnd w:id="20"/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2026-07-28T01:19:12Z</dcterms:created>
  <dcterms:modified xsi:type="dcterms:W3CDTF">2026-07-28T01:19:12Z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