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CoStar Group (CSGP)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CoStar Group, Inc.</w:t>
            </w:r>
          </w:p>
        </w:tc>
      </w:tr>
      <w:tr>
        <w:tc>
          <w:tcPr>
            <w:tcW w:type="dxa" w:w="4320"/>
          </w:tcPr>
          <w:p>
            <w:r>
              <w:rPr>
                <w:rFonts w:ascii="Calibri" w:hAnsi="Calibri"/>
                <w:b/>
                <w:sz w:val="22"/>
              </w:rPr>
              <w:t>Ticker</w:t>
            </w:r>
          </w:p>
        </w:tc>
        <w:tc>
          <w:tcPr>
            <w:tcW w:type="dxa" w:w="4320"/>
          </w:tcPr>
          <w:p>
            <w:r>
              <w:rPr>
                <w:rFonts w:ascii="Calibri" w:hAnsi="Calibri"/>
                <w:sz w:val="22"/>
              </w:rPr>
              <w:t>CSGP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 / Time</w:t>
            </w:r>
          </w:p>
        </w:tc>
        <w:tc>
          <w:tcPr>
            <w:tcW w:type="dxa" w:w="4320"/>
          </w:tcPr>
          <w:p>
            <w:r>
              <w:rPr>
                <w:rFonts w:ascii="Calibri" w:hAnsi="Calibri"/>
                <w:sz w:val="22"/>
              </w:rPr>
              <w:t>July 28, 2026 — 5:00 PM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XLK (Technology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sits just below the midpoint of management's Q2 revenue guidance, EBITDA estimates have been remarkably stable since the Q1 print, and the single biggest swing factor is whether residential profitability inflects as promised and whether net new bookings re-accelerate after the activist-distraction overhang is fully cleared.</w:t>
      </w:r>
    </w:p>
    <w:p>
      <w:r>
        <w:rPr>
          <w:rFonts w:ascii="Calibri" w:hAnsi="Calibri"/>
          <w:color w:val="525866"/>
          <w:sz w:val="22"/>
        </w:rPr>
        <w:t xml:space="preserve">Heading into Q2 2026, the bar for CSGP is achievable but not easy: consensus revenue of ~$929M sits at the low end of management's $922M–$932M guidance range, implying the Street is not pricing in an upside surprise on the top line, while EBITDA consensus of ~$173M is comfortably within the $160M–$180M guidance band — a setup that leaves room for another beat similar to Q1's 26%-above-midpoint outperformance. </w:t>
      </w:r>
      <w:r>
        <w:rPr>
          <w:rFonts w:ascii="Calibri" w:hAnsi="Calibri"/>
          <w:b/>
          <w:color w:val="525866"/>
          <w:sz w:val="22"/>
        </w:rPr>
        <w:t>Management's tone on the Q1 call was the most confident in several quarters</w:t>
      </w:r>
      <w:r>
        <w:rPr>
          <w:rFonts w:ascii="Calibri" w:hAnsi="Calibri"/>
          <w:color w:val="525866"/>
          <w:sz w:val="22"/>
        </w:rPr>
        <w:t xml:space="preserve">: the activist overhang from Third Point was declared fully resolved, Homes.com subscriber ROI data (11x return on subscription cost) was used to justify a May 1 price increase for new customers, and the residential segment was explicitly guided to reach profitability in Q2 — a milestone that, if achieved, would be a meaningful sentiment catalyst. Estimate revisions since the Q1 print have been essentially flat (revenue consensus moved less than 0.1% over the past 12 weeks), suggesting the Street is in a "show me" posture rather than pre-positioning for a beat. The stock has declined ~19% since the Q1 print, driven almost entirely by multiple compression (NTM EV/EBITDA contracted from ~17.5x to ~13x over three months) rather than estimate cuts, leaving the stock at its cheapest valuation in years and creating an asymmetric setup if Q2 execution is clean. The key wildcard is the </w:t>
      </w:r>
      <w:r>
        <w:rPr>
          <w:rFonts w:ascii="Calibri" w:hAnsi="Calibri"/>
          <w:b/>
          <w:color w:val="525866"/>
          <w:sz w:val="22"/>
        </w:rPr>
        <w:t>CFO transition</w:t>
      </w:r>
      <w:r>
        <w:rPr>
          <w:rFonts w:ascii="Calibri" w:hAnsi="Calibri"/>
          <w:color w:val="525866"/>
          <w:sz w:val="22"/>
        </w:rPr>
        <w:t>: Christian Lown resigned effective July 31 and Robin Rossmann (Managing Director, Europe) steps in — any uncertainty around financial guidance credibility or capital allocation continuity could weigh on the stock even on a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Revenue consensus is a low bar (at the bottom of guidance), but </w:t>
      </w:r>
      <w:r>
        <w:rPr>
          <w:rFonts w:ascii="Calibri" w:hAnsi="Calibri"/>
          <w:b/>
          <w:color w:val="525866"/>
          <w:sz w:val="22"/>
        </w:rPr>
        <w:t>net new bookings and residential EBITDA profitability are the real swing factors</w:t>
      </w:r>
      <w:r>
        <w:rPr>
          <w:rFonts w:ascii="Calibri" w:hAnsi="Calibri"/>
          <w:color w:val="525866"/>
          <w:sz w:val="22"/>
        </w:rPr>
        <w:t xml:space="preserve"> — a miss on bookings or a failure to reach residential breakeven would likely overshadow any revenue beat.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($M)</w:t>
            </w:r>
          </w:p>
        </w:tc>
        <w:tc>
          <w:tcPr>
            <w:tcW w:type="dxa" w:w="1234"/>
          </w:tcPr>
          <w:p>
            <w:r>
              <w:rPr>
                <w:rFonts w:ascii="Calibri" w:hAnsi="Calibri"/>
                <w:sz w:val="22"/>
              </w:rPr>
              <w:t>$897M</w:t>
            </w:r>
          </w:p>
        </w:tc>
        <w:tc>
          <w:tcPr>
            <w:tcW w:type="dxa" w:w="1234"/>
          </w:tcPr>
          <w:p>
            <w:r>
              <w:rPr>
                <w:rFonts w:ascii="Calibri" w:hAnsi="Calibri"/>
                <w:sz w:val="22"/>
              </w:rPr>
              <w:t>$781M</w:t>
            </w:r>
          </w:p>
        </w:tc>
        <w:tc>
          <w:tcPr>
            <w:tcW w:type="dxa" w:w="1234"/>
          </w:tcPr>
          <w:p>
            <w:r>
              <w:rPr>
                <w:rFonts w:ascii="Calibri" w:hAnsi="Calibri"/>
                <w:sz w:val="22"/>
              </w:rPr>
              <w:t>$929M</w:t>
            </w:r>
          </w:p>
        </w:tc>
        <w:tc>
          <w:tcPr>
            <w:tcW w:type="dxa" w:w="1234"/>
          </w:tcPr>
          <w:p>
            <w:r>
              <w:rPr>
                <w:rFonts w:ascii="Calibri" w:hAnsi="Calibri"/>
                <w:sz w:val="22"/>
              </w:rPr>
              <w:t>+19.0%</w:t>
            </w:r>
          </w:p>
        </w:tc>
        <w:tc>
          <w:tcPr>
            <w:tcW w:type="dxa" w:w="1234"/>
          </w:tcPr>
          <w:p>
            <w:r>
              <w:rPr>
                <w:rFonts w:ascii="Calibri" w:hAnsi="Calibri"/>
                <w:sz w:val="22"/>
              </w:rPr>
              <w:t>$922M – $932M</w:t>
            </w:r>
          </w:p>
        </w:tc>
        <w:tc>
          <w:tcPr>
            <w:tcW w:type="dxa" w:w="1234"/>
          </w:tcPr>
          <w:p>
            <w:r>
              <w:rPr>
                <w:rFonts w:ascii="Calibri" w:hAnsi="Calibri"/>
                <w:sz w:val="22"/>
              </w:rPr>
              <w:t>-0.2% (at low end)</w:t>
            </w:r>
          </w:p>
        </w:tc>
      </w:tr>
      <w:tr>
        <w:tc>
          <w:tcPr>
            <w:tcW w:type="dxa" w:w="1234"/>
          </w:tcPr>
          <w:p>
            <w:r>
              <w:rPr>
                <w:rFonts w:ascii="Calibri" w:hAnsi="Calibri"/>
                <w:sz w:val="22"/>
              </w:rPr>
              <w:t>Adjusted EBITDA ($M)</w:t>
            </w:r>
          </w:p>
        </w:tc>
        <w:tc>
          <w:tcPr>
            <w:tcW w:type="dxa" w:w="1234"/>
          </w:tcPr>
          <w:p>
            <w:r>
              <w:rPr>
                <w:rFonts w:ascii="Calibri" w:hAnsi="Calibri"/>
                <w:sz w:val="22"/>
              </w:rPr>
              <w:t>$132M</w:t>
            </w:r>
          </w:p>
        </w:tc>
        <w:tc>
          <w:tcPr>
            <w:tcW w:type="dxa" w:w="1234"/>
          </w:tcPr>
          <w:p>
            <w:r>
              <w:rPr>
                <w:rFonts w:ascii="Calibri" w:hAnsi="Calibri"/>
                <w:sz w:val="22"/>
              </w:rPr>
              <w:t>$84M</w:t>
            </w:r>
          </w:p>
        </w:tc>
        <w:tc>
          <w:tcPr>
            <w:tcW w:type="dxa" w:w="1234"/>
          </w:tcPr>
          <w:p>
            <w:r>
              <w:rPr>
                <w:rFonts w:ascii="Calibri" w:hAnsi="Calibri"/>
                <w:sz w:val="22"/>
              </w:rPr>
              <w:t>$173M</w:t>
            </w:r>
          </w:p>
        </w:tc>
        <w:tc>
          <w:tcPr>
            <w:tcW w:type="dxa" w:w="1234"/>
          </w:tcPr>
          <w:p>
            <w:r>
              <w:rPr>
                <w:rFonts w:ascii="Calibri" w:hAnsi="Calibri"/>
                <w:sz w:val="22"/>
              </w:rPr>
              <w:t>+106%</w:t>
            </w:r>
          </w:p>
        </w:tc>
        <w:tc>
          <w:tcPr>
            <w:tcW w:type="dxa" w:w="1234"/>
          </w:tcPr>
          <w:p>
            <w:r>
              <w:rPr>
                <w:rFonts w:ascii="Calibri" w:hAnsi="Calibri"/>
                <w:sz w:val="22"/>
              </w:rPr>
              <w:t>$160M – $180M</w:t>
            </w:r>
          </w:p>
        </w:tc>
        <w:tc>
          <w:tcPr>
            <w:tcW w:type="dxa" w:w="1234"/>
          </w:tcPr>
          <w:p>
            <w:r>
              <w:rPr>
                <w:rFonts w:ascii="Calibri" w:hAnsi="Calibri"/>
                <w:sz w:val="22"/>
              </w:rPr>
              <w:t>+1.8% (above midpoint)</w:t>
            </w:r>
          </w:p>
        </w:tc>
      </w:tr>
      <w:tr>
        <w:tc>
          <w:tcPr>
            <w:tcW w:type="dxa" w:w="1234"/>
          </w:tcPr>
          <w:p>
            <w:r>
              <w:rPr>
                <w:rFonts w:ascii="Calibri" w:hAnsi="Calibri"/>
                <w:sz w:val="22"/>
              </w:rPr>
              <w:t>Adj. EPS — Diluted ($)</w:t>
            </w:r>
          </w:p>
        </w:tc>
        <w:tc>
          <w:tcPr>
            <w:tcW w:type="dxa" w:w="1234"/>
          </w:tcPr>
          <w:p>
            <w:r>
              <w:rPr>
                <w:rFonts w:ascii="Calibri" w:hAnsi="Calibri"/>
                <w:sz w:val="22"/>
              </w:rPr>
              <w:t>$0.23</w:t>
            </w:r>
          </w:p>
        </w:tc>
        <w:tc>
          <w:tcPr>
            <w:tcW w:type="dxa" w:w="1234"/>
          </w:tcPr>
          <w:p>
            <w:r>
              <w:rPr>
                <w:rFonts w:ascii="Calibri" w:hAnsi="Calibri"/>
                <w:sz w:val="22"/>
              </w:rPr>
              <w:t>$0.17</w:t>
            </w:r>
          </w:p>
        </w:tc>
        <w:tc>
          <w:tcPr>
            <w:tcW w:type="dxa" w:w="1234"/>
          </w:tcPr>
          <w:p>
            <w:r>
              <w:rPr>
                <w:rFonts w:ascii="Calibri" w:hAnsi="Calibri"/>
                <w:sz w:val="22"/>
              </w:rPr>
              <w:t>$0.29</w:t>
            </w:r>
          </w:p>
        </w:tc>
        <w:tc>
          <w:tcPr>
            <w:tcW w:type="dxa" w:w="1234"/>
          </w:tcPr>
          <w:p>
            <w:r>
              <w:rPr>
                <w:rFonts w:ascii="Calibri" w:hAnsi="Calibri"/>
                <w:sz w:val="22"/>
              </w:rPr>
              <w:t>+70.6%</w:t>
            </w:r>
          </w:p>
        </w:tc>
        <w:tc>
          <w:tcPr>
            <w:tcW w:type="dxa" w:w="1234"/>
          </w:tcPr>
          <w:p>
            <w:r>
              <w:rPr>
                <w:rFonts w:ascii="Calibri" w:hAnsi="Calibri"/>
                <w:sz w:val="22"/>
              </w:rPr>
              <w:t>$0.27 – $0.30</w:t>
            </w:r>
          </w:p>
        </w:tc>
        <w:tc>
          <w:tcPr>
            <w:tcW w:type="dxa" w:w="1234"/>
          </w:tcPr>
          <w:p>
            <w:r>
              <w:rPr>
                <w:rFonts w:ascii="Calibri" w:hAnsi="Calibri"/>
                <w:sz w:val="22"/>
              </w:rPr>
              <w:t>+0.3% (at midpoint)</w:t>
            </w:r>
          </w:p>
        </w:tc>
      </w:tr>
      <w:tr>
        <w:tc>
          <w:tcPr>
            <w:tcW w:type="dxa" w:w="1234"/>
          </w:tcPr>
          <w:p>
            <w:r>
              <w:rPr>
                <w:rFonts w:ascii="Calibri" w:hAnsi="Calibri"/>
                <w:sz w:val="22"/>
              </w:rPr>
              <w:t>CoStar Suite Revenue ($M)</w:t>
            </w:r>
          </w:p>
        </w:tc>
        <w:tc>
          <w:tcPr>
            <w:tcW w:type="dxa" w:w="1234"/>
          </w:tcPr>
          <w:p>
            <w:r>
              <w:rPr>
                <w:rFonts w:ascii="Calibri" w:hAnsi="Calibri"/>
                <w:sz w:val="22"/>
              </w:rPr>
              <w:t>$288M</w:t>
            </w:r>
          </w:p>
        </w:tc>
        <w:tc>
          <w:tcPr>
            <w:tcW w:type="dxa" w:w="1234"/>
          </w:tcPr>
          <w:p>
            <w:r>
              <w:rPr>
                <w:rFonts w:ascii="Calibri" w:hAnsi="Calibri"/>
                <w:sz w:val="22"/>
              </w:rPr>
              <w:t>$271M</w:t>
            </w:r>
          </w:p>
        </w:tc>
        <w:tc>
          <w:tcPr>
            <w:tcW w:type="dxa" w:w="1234"/>
          </w:tcPr>
          <w:p>
            <w:r>
              <w:rPr>
                <w:rFonts w:ascii="Calibri" w:hAnsi="Calibri"/>
                <w:sz w:val="22"/>
              </w:rPr>
              <w:t>$294M</w:t>
            </w:r>
          </w:p>
        </w:tc>
        <w:tc>
          <w:tcPr>
            <w:tcW w:type="dxa" w:w="1234"/>
          </w:tcPr>
          <w:p>
            <w:r>
              <w:rPr>
                <w:rFonts w:ascii="Calibri" w:hAnsi="Calibri"/>
                <w:sz w:val="22"/>
              </w:rPr>
              <w:t>+8.5%</w:t>
            </w:r>
          </w:p>
        </w:tc>
        <w:tc>
          <w:tcPr>
            <w:tcW w:type="dxa" w:w="1234"/>
          </w:tcPr>
          <w:p>
            <w:r>
              <w:rPr>
                <w:rFonts w:ascii="Calibri" w:hAnsi="Calibri"/>
                <w:sz w:val="22"/>
              </w:rPr>
              <w:t>N/A — not guided separately</w:t>
            </w:r>
          </w:p>
        </w:tc>
        <w:tc>
          <w:tcPr>
            <w:tcW w:type="dxa" w:w="1234"/>
          </w:tcPr>
          <w:p>
            <w:r>
              <w:rPr>
                <w:rFonts w:ascii="Calibri" w:hAnsi="Calibri"/>
                <w:sz w:val="22"/>
              </w:rPr>
              <w:t>N/A</w:t>
            </w:r>
          </w:p>
        </w:tc>
      </w:tr>
      <w:tr>
        <w:tc>
          <w:tcPr>
            <w:tcW w:type="dxa" w:w="1234"/>
          </w:tcPr>
          <w:p>
            <w:r>
              <w:rPr>
                <w:rFonts w:ascii="Calibri" w:hAnsi="Calibri"/>
                <w:sz w:val="22"/>
              </w:rPr>
              <w:t>Residential Revenue ($M)</w:t>
            </w:r>
          </w:p>
        </w:tc>
        <w:tc>
          <w:tcPr>
            <w:tcW w:type="dxa" w:w="1234"/>
          </w:tcPr>
          <w:p>
            <w:r>
              <w:rPr>
                <w:rFonts w:ascii="Calibri" w:hAnsi="Calibri"/>
                <w:sz w:val="22"/>
              </w:rPr>
              <w:t>$425M</w:t>
            </w:r>
          </w:p>
        </w:tc>
        <w:tc>
          <w:tcPr>
            <w:tcW w:type="dxa" w:w="1234"/>
          </w:tcPr>
          <w:p>
            <w:r>
              <w:rPr>
                <w:rFonts w:ascii="Calibri" w:hAnsi="Calibri"/>
                <w:sz w:val="22"/>
              </w:rPr>
              <w:t>$335M</w:t>
            </w:r>
          </w:p>
        </w:tc>
        <w:tc>
          <w:tcPr>
            <w:tcW w:type="dxa" w:w="1234"/>
          </w:tcPr>
          <w:p>
            <w:r>
              <w:rPr>
                <w:rFonts w:ascii="Calibri" w:hAnsi="Calibri"/>
                <w:sz w:val="22"/>
              </w:rPr>
              <w:t>$446M</w:t>
            </w:r>
          </w:p>
        </w:tc>
        <w:tc>
          <w:tcPr>
            <w:tcW w:type="dxa" w:w="1234"/>
          </w:tcPr>
          <w:p>
            <w:r>
              <w:rPr>
                <w:rFonts w:ascii="Calibri" w:hAnsi="Calibri"/>
                <w:sz w:val="22"/>
              </w:rPr>
              <w:t>+33.1%</w:t>
            </w:r>
          </w:p>
        </w:tc>
        <w:tc>
          <w:tcPr>
            <w:tcW w:type="dxa" w:w="1234"/>
          </w:tcPr>
          <w:p>
            <w:r>
              <w:rPr>
                <w:rFonts w:ascii="Calibri" w:hAnsi="Calibri"/>
                <w:sz w:val="22"/>
              </w:rPr>
              <w:t>N/A — not guided separately</w:t>
            </w:r>
          </w:p>
        </w:tc>
        <w:tc>
          <w:tcPr>
            <w:tcW w:type="dxa" w:w="1234"/>
          </w:tcPr>
          <w:p>
            <w:r>
              <w:rPr>
                <w:rFonts w:ascii="Calibri" w:hAnsi="Calibri"/>
                <w:sz w:val="22"/>
              </w:rPr>
              <w:t>N/A</w:t>
            </w:r>
          </w:p>
        </w:tc>
      </w:tr>
      <w:tr>
        <w:tc>
          <w:tcPr>
            <w:tcW w:type="dxa" w:w="1234"/>
          </w:tcPr>
          <w:p>
            <w:r>
              <w:rPr>
                <w:rFonts w:ascii="Calibri" w:hAnsi="Calibri"/>
                <w:sz w:val="22"/>
              </w:rPr>
              <w:t>Residential Adj. EBITDA ($M)</w:t>
            </w:r>
          </w:p>
        </w:tc>
        <w:tc>
          <w:tcPr>
            <w:tcW w:type="dxa" w:w="1234"/>
          </w:tcPr>
          <w:p>
            <w:r>
              <w:rPr>
                <w:rFonts w:ascii="Calibri" w:hAnsi="Calibri"/>
                <w:sz w:val="22"/>
              </w:rPr>
              <w:t>-$29M</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$0M – $10M (breakeven to positive)</w:t>
            </w:r>
          </w:p>
        </w:tc>
        <w:tc>
          <w:tcPr>
            <w:tcW w:type="dxa" w:w="1234"/>
          </w:tcPr>
          <w:p>
            <w:r>
              <w:rPr>
                <w:rFonts w:ascii="Calibri" w:hAnsi="Calibri"/>
                <w:sz w:val="22"/>
              </w:rPr>
              <w:t>N/A</w:t>
            </w:r>
          </w:p>
        </w:tc>
      </w:tr>
      <w:tr>
        <w:tc>
          <w:tcPr>
            <w:tcW w:type="dxa" w:w="1234"/>
          </w:tcPr>
          <w:p>
            <w:r>
              <w:rPr>
                <w:rFonts w:ascii="Calibri" w:hAnsi="Calibri"/>
                <w:sz w:val="22"/>
              </w:rPr>
              <w:t>Net New Bookings ($M, annualized)</w:t>
            </w:r>
          </w:p>
        </w:tc>
        <w:tc>
          <w:tcPr>
            <w:tcW w:type="dxa" w:w="1234"/>
          </w:tcPr>
          <w:p>
            <w:r>
              <w:rPr>
                <w:rFonts w:ascii="Calibri" w:hAnsi="Calibri"/>
                <w:sz w:val="22"/>
              </w:rPr>
              <w:t>$67M</w:t>
            </w:r>
          </w:p>
        </w:tc>
        <w:tc>
          <w:tcPr>
            <w:tcW w:type="dxa" w:w="1234"/>
          </w:tcPr>
          <w:p>
            <w:r>
              <w:rPr>
                <w:rFonts w:ascii="Calibri" w:hAnsi="Calibri"/>
                <w:sz w:val="22"/>
              </w:rPr>
              <w:t>$93M</w:t>
            </w:r>
          </w:p>
        </w:tc>
        <w:tc>
          <w:tcPr>
            <w:tcW w:type="dxa" w:w="1234"/>
          </w:tcPr>
          <w:p>
            <w:r>
              <w:rPr>
                <w:rFonts w:ascii="Calibri" w:hAnsi="Calibri"/>
                <w:sz w:val="22"/>
              </w:rPr>
              <w:t>$88M</w:t>
            </w:r>
          </w:p>
        </w:tc>
        <w:tc>
          <w:tcPr>
            <w:tcW w:type="dxa" w:w="1234"/>
          </w:tcPr>
          <w:p>
            <w:r>
              <w:rPr>
                <w:rFonts w:ascii="Calibri" w:hAnsi="Calibri"/>
                <w:sz w:val="22"/>
              </w:rPr>
              <w:t>-5.4% YoY</w:t>
            </w:r>
          </w:p>
        </w:tc>
        <w:tc>
          <w:tcPr>
            <w:tcW w:type="dxa" w:w="1234"/>
          </w:tcPr>
          <w:p>
            <w:r>
              <w:rPr>
                <w:rFonts w:ascii="Calibri" w:hAnsi="Calibri"/>
                <w:sz w:val="22"/>
              </w:rPr>
              <w:t>N/A — not guided separately</w:t>
            </w:r>
          </w:p>
        </w:tc>
        <w:tc>
          <w:tcPr>
            <w:tcW w:type="dxa" w:w="1234"/>
          </w:tcPr>
          <w:p>
            <w:r>
              <w:rPr>
                <w:rFonts w:ascii="Calibri" w:hAnsi="Calibri"/>
                <w:sz w:val="22"/>
              </w:rPr>
              <w:t>N/A</w:t>
            </w:r>
          </w:p>
        </w:tc>
      </w:tr>
    </w:tbl>
    <w:p>
      <w:r>
        <w:rPr>
          <w:rFonts w:ascii="Calibri" w:hAnsi="Calibri"/>
          <w:color w:val="525866"/>
          <w:sz w:val="22"/>
        </w:rPr>
        <w:t>Sources: Visible Alpha Consensus and Actuals Data; CoStar Group Q1 2026 Earnings Release and Transcript (April 28, 2026). Residential Adj. EBITDA consensus not separately tracked in Visible Alpha; guidance range from Q1 2026 earnings call.</w:t>
      </w:r>
    </w:p>
    <w:p>
      <w:pPr>
        <w:pStyle w:val="Heading3"/>
      </w:pPr>
      <w:r>
        <w:rPr>
          <w:rFonts w:ascii="Calibri" w:hAnsi="Calibri"/>
          <w:b/>
          <w:color w:val="3B4259"/>
          <w:sz w:val="24"/>
        </w:rPr>
        <w:t>Table 2 — Beat / Miss History (Last 8 Quarters, Top 2 KPIs)</w:t>
      </w:r>
    </w:p>
    <w:p>
      <w:r>
        <w:rPr>
          <w:rFonts w:ascii="Calibri" w:hAnsi="Calibri"/>
          <w:color w:val="525866"/>
          <w:sz w:val="22"/>
        </w:rPr>
        <w:t>Top 2 KPIs: Revenue and Adjusted EBITDA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$897M</w:t>
            </w:r>
          </w:p>
        </w:tc>
        <w:tc>
          <w:tcPr>
            <w:tcW w:type="dxa" w:w="1440"/>
          </w:tcPr>
          <w:p>
            <w:r>
              <w:rPr>
                <w:rFonts w:ascii="Calibri" w:hAnsi="Calibri"/>
                <w:sz w:val="22"/>
              </w:rPr>
              <w:t>$897M</w:t>
            </w:r>
          </w:p>
        </w:tc>
        <w:tc>
          <w:tcPr>
            <w:tcW w:type="dxa" w:w="1440"/>
          </w:tcPr>
          <w:p>
            <w:r>
              <w:rPr>
                <w:rFonts w:ascii="Calibri" w:hAnsi="Calibri"/>
                <w:sz w:val="22"/>
              </w:rPr>
              <w:t>+0.0%</w:t>
            </w:r>
          </w:p>
        </w:tc>
        <w:tc>
          <w:tcPr>
            <w:tcW w:type="dxa" w:w="1440"/>
          </w:tcPr>
          <w:p>
            <w:r>
              <w:rPr>
                <w:rFonts w:ascii="Calibri" w:hAnsi="Calibri"/>
                <w:b/>
                <w:color w:val="002FA7"/>
                <w:sz w:val="22"/>
              </w:rPr>
              <w:t>In-line</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$132M</w:t>
            </w:r>
          </w:p>
        </w:tc>
        <w:tc>
          <w:tcPr>
            <w:tcW w:type="dxa" w:w="1440"/>
          </w:tcPr>
          <w:p>
            <w:r>
              <w:rPr>
                <w:rFonts w:ascii="Calibri" w:hAnsi="Calibri"/>
                <w:sz w:val="22"/>
              </w:rPr>
              <w:t>$111M</w:t>
            </w:r>
          </w:p>
        </w:tc>
        <w:tc>
          <w:tcPr>
            <w:tcW w:type="dxa" w:w="1440"/>
          </w:tcPr>
          <w:p>
            <w:r>
              <w:rPr>
                <w:rFonts w:ascii="Calibri" w:hAnsi="Calibri"/>
                <w:sz w:val="22"/>
              </w:rPr>
              <w:t>+19.0%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$900M</w:t>
            </w:r>
          </w:p>
        </w:tc>
        <w:tc>
          <w:tcPr>
            <w:tcW w:type="dxa" w:w="1440"/>
          </w:tcPr>
          <w:p>
            <w:r>
              <w:rPr>
                <w:rFonts w:ascii="Calibri" w:hAnsi="Calibri"/>
                <w:sz w:val="22"/>
              </w:rPr>
              <w:t>$892M</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$177M</w:t>
            </w:r>
          </w:p>
        </w:tc>
        <w:tc>
          <w:tcPr>
            <w:tcW w:type="dxa" w:w="1440"/>
          </w:tcPr>
          <w:p>
            <w:r>
              <w:rPr>
                <w:rFonts w:ascii="Calibri" w:hAnsi="Calibri"/>
                <w:sz w:val="22"/>
              </w:rPr>
              <w:t>$158M</w:t>
            </w:r>
          </w:p>
        </w:tc>
        <w:tc>
          <w:tcPr>
            <w:tcW w:type="dxa" w:w="1440"/>
          </w:tcPr>
          <w:p>
            <w:r>
              <w:rPr>
                <w:rFonts w:ascii="Calibri" w:hAnsi="Calibri"/>
                <w:sz w:val="22"/>
              </w:rPr>
              <w:t>+11.8%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$834M</w:t>
            </w:r>
          </w:p>
        </w:tc>
        <w:tc>
          <w:tcPr>
            <w:tcW w:type="dxa" w:w="1440"/>
          </w:tcPr>
          <w:p>
            <w:r>
              <w:rPr>
                <w:rFonts w:ascii="Calibri" w:hAnsi="Calibri"/>
                <w:sz w:val="22"/>
              </w:rPr>
              <w:t>$814M</w:t>
            </w:r>
          </w:p>
        </w:tc>
        <w:tc>
          <w:tcPr>
            <w:tcW w:type="dxa" w:w="1440"/>
          </w:tcPr>
          <w:p>
            <w:r>
              <w:rPr>
                <w:rFonts w:ascii="Calibri" w:hAnsi="Calibri"/>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$115M</w:t>
            </w:r>
          </w:p>
        </w:tc>
        <w:tc>
          <w:tcPr>
            <w:tcW w:type="dxa" w:w="1440"/>
          </w:tcPr>
          <w:p>
            <w:r>
              <w:rPr>
                <w:rFonts w:ascii="Calibri" w:hAnsi="Calibri"/>
                <w:sz w:val="22"/>
              </w:rPr>
              <w:t>$90M</w:t>
            </w:r>
          </w:p>
        </w:tc>
        <w:tc>
          <w:tcPr>
            <w:tcW w:type="dxa" w:w="1440"/>
          </w:tcPr>
          <w:p>
            <w:r>
              <w:rPr>
                <w:rFonts w:ascii="Calibri" w:hAnsi="Calibri"/>
                <w:sz w:val="22"/>
              </w:rPr>
              <w:t>+27.2%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$781M</w:t>
            </w:r>
          </w:p>
        </w:tc>
        <w:tc>
          <w:tcPr>
            <w:tcW w:type="dxa" w:w="1440"/>
          </w:tcPr>
          <w:p>
            <w:r>
              <w:rPr>
                <w:rFonts w:ascii="Calibri" w:hAnsi="Calibri"/>
                <w:sz w:val="22"/>
              </w:rPr>
              <w:t>$772M</w:t>
            </w:r>
          </w:p>
        </w:tc>
        <w:tc>
          <w:tcPr>
            <w:tcW w:type="dxa" w:w="1440"/>
          </w:tcPr>
          <w:p>
            <w:r>
              <w:rPr>
                <w:rFonts w:ascii="Calibri" w:hAnsi="Calibri"/>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$85M</w:t>
            </w:r>
          </w:p>
        </w:tc>
        <w:tc>
          <w:tcPr>
            <w:tcW w:type="dxa" w:w="1440"/>
          </w:tcPr>
          <w:p>
            <w:r>
              <w:rPr>
                <w:rFonts w:ascii="Calibri" w:hAnsi="Calibri"/>
                <w:sz w:val="22"/>
              </w:rPr>
              <w:t>$59M</w:t>
            </w:r>
          </w:p>
        </w:tc>
        <w:tc>
          <w:tcPr>
            <w:tcW w:type="dxa" w:w="1440"/>
          </w:tcPr>
          <w:p>
            <w:r>
              <w:rPr>
                <w:rFonts w:ascii="Calibri" w:hAnsi="Calibri"/>
                <w:sz w:val="22"/>
              </w:rPr>
              <w:t>+43.2%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$732M</w:t>
            </w:r>
          </w:p>
        </w:tc>
        <w:tc>
          <w:tcPr>
            <w:tcW w:type="dxa" w:w="1440"/>
          </w:tcPr>
          <w:p>
            <w:r>
              <w:rPr>
                <w:rFonts w:ascii="Calibri" w:hAnsi="Calibri"/>
                <w:sz w:val="22"/>
              </w:rPr>
              <w:t>$729M</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$65M</w:t>
            </w:r>
          </w:p>
        </w:tc>
        <w:tc>
          <w:tcPr>
            <w:tcW w:type="dxa" w:w="1440"/>
          </w:tcPr>
          <w:p>
            <w:r>
              <w:rPr>
                <w:rFonts w:ascii="Calibri" w:hAnsi="Calibri"/>
                <w:sz w:val="22"/>
              </w:rPr>
              <w:t>$31M</w:t>
            </w:r>
          </w:p>
        </w:tc>
        <w:tc>
          <w:tcPr>
            <w:tcW w:type="dxa" w:w="1440"/>
          </w:tcPr>
          <w:p>
            <w:r>
              <w:rPr>
                <w:rFonts w:ascii="Calibri" w:hAnsi="Calibri"/>
                <w:sz w:val="22"/>
              </w:rPr>
              <w:t>+112.9%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$709M</w:t>
            </w:r>
          </w:p>
        </w:tc>
        <w:tc>
          <w:tcPr>
            <w:tcW w:type="dxa" w:w="1440"/>
          </w:tcPr>
          <w:p>
            <w:r>
              <w:rPr>
                <w:rFonts w:ascii="Calibri" w:hAnsi="Calibri"/>
                <w:sz w:val="22"/>
              </w:rPr>
              <w:t>$703M</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$112M</w:t>
            </w:r>
          </w:p>
        </w:tc>
        <w:tc>
          <w:tcPr>
            <w:tcW w:type="dxa" w:w="1440"/>
          </w:tcPr>
          <w:p>
            <w:r>
              <w:rPr>
                <w:rFonts w:ascii="Calibri" w:hAnsi="Calibri"/>
                <w:sz w:val="22"/>
              </w:rPr>
              <w:t>$87M</w:t>
            </w:r>
          </w:p>
        </w:tc>
        <w:tc>
          <w:tcPr>
            <w:tcW w:type="dxa" w:w="1440"/>
          </w:tcPr>
          <w:p>
            <w:r>
              <w:rPr>
                <w:rFonts w:ascii="Calibri" w:hAnsi="Calibri"/>
                <w:sz w:val="22"/>
              </w:rPr>
              <w:t>+29.5%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$693M</w:t>
            </w:r>
          </w:p>
        </w:tc>
        <w:tc>
          <w:tcPr>
            <w:tcW w:type="dxa" w:w="1440"/>
          </w:tcPr>
          <w:p>
            <w:r>
              <w:rPr>
                <w:rFonts w:ascii="Calibri" w:hAnsi="Calibri"/>
                <w:sz w:val="22"/>
              </w:rPr>
              <w:t>$696M</w:t>
            </w:r>
          </w:p>
        </w:tc>
        <w:tc>
          <w:tcPr>
            <w:tcW w:type="dxa" w:w="1440"/>
          </w:tcPr>
          <w:p>
            <w:r>
              <w:rPr>
                <w:rFonts w:ascii="Calibri" w:hAnsi="Calibri"/>
                <w:sz w:val="22"/>
              </w:rPr>
              <w:t>-0.4%</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$76M</w:t>
            </w:r>
          </w:p>
        </w:tc>
        <w:tc>
          <w:tcPr>
            <w:tcW w:type="dxa" w:w="1440"/>
          </w:tcPr>
          <w:p>
            <w:r>
              <w:rPr>
                <w:rFonts w:ascii="Calibri" w:hAnsi="Calibri"/>
                <w:sz w:val="22"/>
              </w:rPr>
              <w:t>$52M</w:t>
            </w:r>
          </w:p>
        </w:tc>
        <w:tc>
          <w:tcPr>
            <w:tcW w:type="dxa" w:w="1440"/>
          </w:tcPr>
          <w:p>
            <w:r>
              <w:rPr>
                <w:rFonts w:ascii="Calibri" w:hAnsi="Calibri"/>
                <w:sz w:val="22"/>
              </w:rPr>
              <w:t>+47.5%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CSGP has beaten Adjusted EBITDA consensus in 7 of the last 8 quarters, often by wide margins (30–113%), driven by AI-enabled personnel cost efficiencies; revenue beats have been narrower and more consistent (in-line to +2.5%), with only one revenue miss in Q3 2024. The EBITDA beat pattern is the dominant signal heading into Q2.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on April 28, but the </w:t>
      </w:r>
      <w:r>
        <w:rPr>
          <w:rFonts w:ascii="Calibri" w:hAnsi="Calibri"/>
          <w:b/>
          <w:color w:val="525866"/>
          <w:sz w:val="22"/>
        </w:rPr>
        <w:t>CFO departure (effective July 31) is a meaningful post-earnings development</w:t>
      </w:r>
      <w:r>
        <w:rPr>
          <w:rFonts w:ascii="Calibri" w:hAnsi="Calibri"/>
          <w:color w:val="525866"/>
          <w:sz w:val="22"/>
        </w:rPr>
        <w:t xml:space="preserve"> that introduces uncertainty around guidance credibility and capital allocation continuity heading into the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$922M – $932M (~19% YoY growth at midpoint)</w:t>
            </w:r>
          </w:p>
        </w:tc>
        <w:tc>
          <w:tcPr>
            <w:tcW w:type="dxa" w:w="1728"/>
          </w:tcPr>
          <w:p>
            <w:r>
              <w:rPr>
                <w:rFonts w:ascii="Calibri" w:hAnsi="Calibri"/>
                <w:sz w:val="22"/>
              </w:rPr>
              <w:t>—</w:t>
            </w:r>
          </w:p>
        </w:tc>
        <w:tc>
          <w:tcPr>
            <w:tcW w:type="dxa" w:w="1728"/>
          </w:tcPr>
          <w:p>
            <w:r>
              <w:rPr>
                <w:rFonts w:ascii="Calibri" w:hAnsi="Calibri"/>
                <w:sz w:val="22"/>
              </w:rPr>
              <w:t>$929M</w:t>
            </w:r>
          </w:p>
        </w:tc>
        <w:tc>
          <w:tcPr>
            <w:tcW w:type="dxa" w:w="1728"/>
          </w:tcPr>
          <w:p>
            <w:r>
              <w:rPr>
                <w:rFonts w:ascii="Calibri" w:hAnsi="Calibri"/>
                <w:sz w:val="22"/>
              </w:rPr>
              <w:t>Unchanged; consensus at low end of range</w:t>
            </w:r>
          </w:p>
        </w:tc>
      </w:tr>
      <w:tr>
        <w:tc>
          <w:tcPr>
            <w:tcW w:type="dxa" w:w="1728"/>
          </w:tcPr>
          <w:p>
            <w:r>
              <w:rPr>
                <w:rFonts w:ascii="Calibri" w:hAnsi="Calibri"/>
                <w:sz w:val="22"/>
              </w:rPr>
              <w:t>Q2 2026 Adj. EBITDA</w:t>
            </w:r>
          </w:p>
        </w:tc>
        <w:tc>
          <w:tcPr>
            <w:tcW w:type="dxa" w:w="1728"/>
          </w:tcPr>
          <w:p>
            <w:r>
              <w:rPr>
                <w:rFonts w:ascii="Calibri" w:hAnsi="Calibri"/>
                <w:sz w:val="22"/>
              </w:rPr>
              <w:t>$160M – $180M (17%–19% margin; ~+700bps vs Q2 2025)</w:t>
            </w:r>
          </w:p>
        </w:tc>
        <w:tc>
          <w:tcPr>
            <w:tcW w:type="dxa" w:w="1728"/>
          </w:tcPr>
          <w:p>
            <w:r>
              <w:rPr>
                <w:rFonts w:ascii="Calibri" w:hAnsi="Calibri"/>
                <w:sz w:val="22"/>
              </w:rPr>
              <w:t>—</w:t>
            </w:r>
          </w:p>
        </w:tc>
        <w:tc>
          <w:tcPr>
            <w:tcW w:type="dxa" w:w="1728"/>
          </w:tcPr>
          <w:p>
            <w:r>
              <w:rPr>
                <w:rFonts w:ascii="Calibri" w:hAnsi="Calibri"/>
                <w:sz w:val="22"/>
              </w:rPr>
              <w:t>$173M</w:t>
            </w:r>
          </w:p>
        </w:tc>
        <w:tc>
          <w:tcPr>
            <w:tcW w:type="dxa" w:w="1728"/>
          </w:tcPr>
          <w:p>
            <w:r>
              <w:rPr>
                <w:rFonts w:ascii="Calibri" w:hAnsi="Calibri"/>
                <w:sz w:val="22"/>
              </w:rPr>
              <w:t>Unchanged; consensus above midpoint, consistent with recent beat pattern</w:t>
            </w:r>
          </w:p>
        </w:tc>
      </w:tr>
      <w:tr>
        <w:tc>
          <w:tcPr>
            <w:tcW w:type="dxa" w:w="1728"/>
          </w:tcPr>
          <w:p>
            <w:r>
              <w:rPr>
                <w:rFonts w:ascii="Calibri" w:hAnsi="Calibri"/>
                <w:sz w:val="22"/>
              </w:rPr>
              <w:t>Q2 2026 Adj. EPS</w:t>
            </w:r>
          </w:p>
        </w:tc>
        <w:tc>
          <w:tcPr>
            <w:tcW w:type="dxa" w:w="1728"/>
          </w:tcPr>
          <w:p>
            <w:r>
              <w:rPr>
                <w:rFonts w:ascii="Calibri" w:hAnsi="Calibri"/>
                <w:sz w:val="22"/>
              </w:rPr>
              <w:t>$0.27 – $0.30 (409M shares)</w:t>
            </w:r>
          </w:p>
        </w:tc>
        <w:tc>
          <w:tcPr>
            <w:tcW w:type="dxa" w:w="1728"/>
          </w:tcPr>
          <w:p>
            <w:r>
              <w:rPr>
                <w:rFonts w:ascii="Calibri" w:hAnsi="Calibri"/>
                <w:sz w:val="22"/>
              </w:rPr>
              <w:t>—</w:t>
            </w:r>
          </w:p>
        </w:tc>
        <w:tc>
          <w:tcPr>
            <w:tcW w:type="dxa" w:w="1728"/>
          </w:tcPr>
          <w:p>
            <w:r>
              <w:rPr>
                <w:rFonts w:ascii="Calibri" w:hAnsi="Calibri"/>
                <w:sz w:val="22"/>
              </w:rPr>
              <w:t>$0.29</w:t>
            </w:r>
          </w:p>
        </w:tc>
        <w:tc>
          <w:tcPr>
            <w:tcW w:type="dxa" w:w="1728"/>
          </w:tcPr>
          <w:p>
            <w:r>
              <w:rPr>
                <w:rFonts w:ascii="Calibri" w:hAnsi="Calibri"/>
                <w:sz w:val="22"/>
              </w:rPr>
              <w:t>Unchanged; consensus at midpoint</w:t>
            </w:r>
          </w:p>
        </w:tc>
      </w:tr>
      <w:tr>
        <w:tc>
          <w:tcPr>
            <w:tcW w:type="dxa" w:w="1728"/>
          </w:tcPr>
          <w:p>
            <w:r>
              <w:rPr>
                <w:rFonts w:ascii="Calibri" w:hAnsi="Calibri"/>
                <w:sz w:val="22"/>
              </w:rPr>
              <w:t>Q2 2026 Residential Adj. EBITDA</w:t>
            </w:r>
          </w:p>
        </w:tc>
        <w:tc>
          <w:tcPr>
            <w:tcW w:type="dxa" w:w="1728"/>
          </w:tcPr>
          <w:p>
            <w:r>
              <w:rPr>
                <w:rFonts w:ascii="Calibri" w:hAnsi="Calibri"/>
                <w:sz w:val="22"/>
              </w:rPr>
              <w:t>$0M – $10M (first quarter of profitability)</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Key milestone; management explicitly guided to residential profitability in Q2</w:t>
            </w:r>
          </w:p>
        </w:tc>
      </w:tr>
      <w:tr>
        <w:tc>
          <w:tcPr>
            <w:tcW w:type="dxa" w:w="1728"/>
          </w:tcPr>
          <w:p>
            <w:r>
              <w:rPr>
                <w:rFonts w:ascii="Calibri" w:hAnsi="Calibri"/>
                <w:sz w:val="22"/>
              </w:rPr>
              <w:t>Q2 2026 Commercial Adj. EBITDA</w:t>
            </w:r>
          </w:p>
        </w:tc>
        <w:tc>
          <w:tcPr>
            <w:tcW w:type="dxa" w:w="1728"/>
          </w:tcPr>
          <w:p>
            <w:r>
              <w:rPr>
                <w:rFonts w:ascii="Calibri" w:hAnsi="Calibri"/>
                <w:sz w:val="22"/>
              </w:rPr>
              <w:t>$160M – $170M (34%–35% margin)</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implies continued commercial margin stability</w:t>
            </w:r>
          </w:p>
        </w:tc>
      </w:tr>
      <w:tr>
        <w:tc>
          <w:tcPr>
            <w:tcW w:type="dxa" w:w="1728"/>
          </w:tcPr>
          <w:p>
            <w:r>
              <w:rPr>
                <w:rFonts w:ascii="Calibri" w:hAnsi="Calibri"/>
                <w:sz w:val="22"/>
              </w:rPr>
              <w:t>FY 2026 Revenue</w:t>
            </w:r>
          </w:p>
        </w:tc>
        <w:tc>
          <w:tcPr>
            <w:tcW w:type="dxa" w:w="1728"/>
          </w:tcPr>
          <w:p>
            <w:r>
              <w:rPr>
                <w:rFonts w:ascii="Calibri" w:hAnsi="Calibri"/>
                <w:sz w:val="22"/>
              </w:rPr>
              <w:t>~18% YoY growth (implied from segment guidance)</w:t>
            </w:r>
          </w:p>
        </w:tc>
        <w:tc>
          <w:tcPr>
            <w:tcW w:type="dxa" w:w="1728"/>
          </w:tcPr>
          <w:p>
            <w:r>
              <w:rPr>
                <w:rFonts w:ascii="Calibri" w:hAnsi="Calibri"/>
                <w:sz w:val="22"/>
              </w:rPr>
              <w:t>—</w:t>
            </w:r>
          </w:p>
        </w:tc>
        <w:tc>
          <w:tcPr>
            <w:tcW w:type="dxa" w:w="1728"/>
          </w:tcPr>
          <w:p>
            <w:r>
              <w:rPr>
                <w:rFonts w:ascii="Calibri" w:hAnsi="Calibri"/>
                <w:sz w:val="22"/>
              </w:rPr>
              <w:t>$3,799M</w:t>
            </w:r>
          </w:p>
        </w:tc>
        <w:tc>
          <w:tcPr>
            <w:tcW w:type="dxa" w:w="1728"/>
          </w:tcPr>
          <w:p>
            <w:r>
              <w:rPr>
                <w:rFonts w:ascii="Calibri" w:hAnsi="Calibri"/>
                <w:sz w:val="22"/>
              </w:rPr>
              <w:t>Unchanged since Q1 call</w:t>
            </w:r>
          </w:p>
        </w:tc>
      </w:tr>
      <w:tr>
        <w:tc>
          <w:tcPr>
            <w:tcW w:type="dxa" w:w="1728"/>
          </w:tcPr>
          <w:p>
            <w:r>
              <w:rPr>
                <w:rFonts w:ascii="Calibri" w:hAnsi="Calibri"/>
                <w:sz w:val="22"/>
              </w:rPr>
              <w:t>FY 2026 Adj. EBITDA</w:t>
            </w:r>
          </w:p>
        </w:tc>
        <w:tc>
          <w:tcPr>
            <w:tcW w:type="dxa" w:w="1728"/>
          </w:tcPr>
          <w:p>
            <w:r>
              <w:rPr>
                <w:rFonts w:ascii="Calibri" w:hAnsi="Calibri"/>
                <w:sz w:val="22"/>
              </w:rPr>
              <w:t>$780M – $820M (raised $30M at midpoint vs. prior guidance)</w:t>
            </w:r>
          </w:p>
        </w:tc>
        <w:tc>
          <w:tcPr>
            <w:tcW w:type="dxa" w:w="1728"/>
          </w:tcPr>
          <w:p>
            <w:r>
              <w:rPr>
                <w:rFonts w:ascii="Calibri" w:hAnsi="Calibri"/>
                <w:sz w:val="22"/>
              </w:rPr>
              <w:t>—</w:t>
            </w:r>
          </w:p>
        </w:tc>
        <w:tc>
          <w:tcPr>
            <w:tcW w:type="dxa" w:w="1728"/>
          </w:tcPr>
          <w:p>
            <w:r>
              <w:rPr>
                <w:rFonts w:ascii="Calibri" w:hAnsi="Calibri"/>
                <w:sz w:val="22"/>
              </w:rPr>
              <w:t>$805M</w:t>
            </w:r>
          </w:p>
        </w:tc>
        <w:tc>
          <w:tcPr>
            <w:tcW w:type="dxa" w:w="1728"/>
          </w:tcPr>
          <w:p>
            <w:r>
              <w:rPr>
                <w:rFonts w:ascii="Calibri" w:hAnsi="Calibri"/>
                <w:sz w:val="22"/>
              </w:rPr>
              <w:t>Raised at Q1 earnings; consensus at midpoint</w:t>
            </w:r>
          </w:p>
        </w:tc>
      </w:tr>
      <w:tr>
        <w:tc>
          <w:tcPr>
            <w:tcW w:type="dxa" w:w="1728"/>
          </w:tcPr>
          <w:p>
            <w:r>
              <w:rPr>
                <w:rFonts w:ascii="Calibri" w:hAnsi="Calibri"/>
                <w:sz w:val="22"/>
              </w:rPr>
              <w:t>CFO Transition</w:t>
            </w:r>
          </w:p>
        </w:tc>
        <w:tc>
          <w:tcPr>
            <w:tcW w:type="dxa" w:w="1728"/>
          </w:tcPr>
          <w:p>
            <w:r>
              <w:rPr>
                <w:rFonts w:ascii="Calibri" w:hAnsi="Calibri"/>
                <w:sz w:val="22"/>
              </w:rPr>
              <w:t>N/A (Christian Lown was CFO at Q1 call)</w:t>
            </w:r>
          </w:p>
        </w:tc>
        <w:tc>
          <w:tcPr>
            <w:tcW w:type="dxa" w:w="1728"/>
          </w:tcPr>
          <w:p>
            <w:r>
              <w:rPr>
                <w:rFonts w:ascii="Calibri" w:hAnsi="Calibri"/>
                <w:sz w:val="22"/>
              </w:rPr>
              <w:t>Christian Lown resigned July 7; Robin Rossmann appointed July 13, effective July 31</w:t>
            </w:r>
          </w:p>
        </w:tc>
        <w:tc>
          <w:tcPr>
            <w:tcW w:type="dxa" w:w="1728"/>
          </w:tcPr>
          <w:p>
            <w:r>
              <w:rPr>
                <w:rFonts w:ascii="Calibri" w:hAnsi="Calibri"/>
                <w:sz w:val="22"/>
              </w:rPr>
              <w:t>N/A</w:t>
            </w:r>
          </w:p>
        </w:tc>
        <w:tc>
          <w:tcPr>
            <w:tcW w:type="dxa" w:w="1728"/>
          </w:tcPr>
          <w:p>
            <w:r>
              <w:rPr>
                <w:rFonts w:ascii="Calibri" w:hAnsi="Calibri"/>
                <w:sz w:val="22"/>
              </w:rPr>
              <w:t>Post-earnings development; Rossmann is internal (Managing Director, Europe); transition risk is moderate</w:t>
            </w:r>
          </w:p>
        </w:tc>
      </w:tr>
    </w:tbl>
    <w:p>
      <w:r>
        <w:rPr>
          <w:rFonts w:ascii="Calibri" w:hAnsi="Calibri"/>
          <w:color w:val="525866"/>
          <w:sz w:val="22"/>
        </w:rPr>
        <w:t>Source: CoStar Group Q1 2026 Earnings Release and Transcript (April 28, 2026); CoStar Group 8-K (July 13, 2026) — CFO appointment.</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 since the Q1 print</w:t>
      </w:r>
      <w:r>
        <w:rPr>
          <w:rFonts w:ascii="Calibri" w:hAnsi="Calibri"/>
          <w:color w:val="525866"/>
          <w:sz w:val="22"/>
        </w:rPr>
        <w:t xml:space="preserve"> — Q2 revenue consensus moved less than 0.1% over 12 weeks, and FY 2026 EBITDA consensus is essentially at the guidance midpoint. The lack of upward revision despite a strong Q1 EBITDA beat suggests the Street is waiting for Q2 execution proof before re-rating.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5, 2026 — 5 Days Post Q1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28)</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(Q2 2026)</w:t>
            </w:r>
          </w:p>
        </w:tc>
        <w:tc>
          <w:tcPr>
            <w:tcW w:type="dxa" w:w="1080"/>
          </w:tcPr>
          <w:p>
            <w:r>
              <w:rPr>
                <w:rFonts w:ascii="Calibri" w:hAnsi="Calibri"/>
                <w:sz w:val="22"/>
              </w:rPr>
              <w:t>$929M</w:t>
            </w:r>
          </w:p>
        </w:tc>
        <w:tc>
          <w:tcPr>
            <w:tcW w:type="dxa" w:w="1080"/>
          </w:tcPr>
          <w:p>
            <w:r>
              <w:rPr>
                <w:rFonts w:ascii="Calibri" w:hAnsi="Calibri"/>
                <w:sz w:val="22"/>
              </w:rPr>
              <w:t>$929M</w:t>
            </w:r>
          </w:p>
        </w:tc>
        <w:tc>
          <w:tcPr>
            <w:tcW w:type="dxa" w:w="1080"/>
          </w:tcPr>
          <w:p>
            <w:r>
              <w:rPr>
                <w:rFonts w:ascii="Calibri" w:hAnsi="Calibri"/>
                <w:sz w:val="22"/>
              </w:rPr>
              <w:t>-0.0%</w:t>
            </w:r>
          </w:p>
        </w:tc>
        <w:tc>
          <w:tcPr>
            <w:tcW w:type="dxa" w:w="1080"/>
          </w:tcPr>
          <w:p>
            <w:r>
              <w:rPr>
                <w:rFonts w:ascii="Calibri" w:hAnsi="Calibri"/>
                <w:sz w:val="22"/>
              </w:rPr>
              <w:t>$922M – $932M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w:t>
            </w:r>
          </w:p>
        </w:tc>
      </w:tr>
      <w:tr>
        <w:tc>
          <w:tcPr>
            <w:tcW w:type="dxa" w:w="1080"/>
          </w:tcPr>
          <w:p>
            <w:r>
              <w:rPr>
                <w:rFonts w:ascii="Calibri" w:hAnsi="Calibri"/>
                <w:sz w:val="22"/>
              </w:rPr>
              <w:t>Adj. EBITDA (Q2 2026)</w:t>
            </w:r>
          </w:p>
        </w:tc>
        <w:tc>
          <w:tcPr>
            <w:tcW w:type="dxa" w:w="1080"/>
          </w:tcPr>
          <w:p>
            <w:r>
              <w:rPr>
                <w:rFonts w:ascii="Calibri" w:hAnsi="Calibri"/>
                <w:sz w:val="22"/>
              </w:rPr>
              <w:t>$172M</w:t>
            </w:r>
          </w:p>
        </w:tc>
        <w:tc>
          <w:tcPr>
            <w:tcW w:type="dxa" w:w="1080"/>
          </w:tcPr>
          <w:p>
            <w:r>
              <w:rPr>
                <w:rFonts w:ascii="Calibri" w:hAnsi="Calibri"/>
                <w:sz w:val="22"/>
              </w:rPr>
              <w:t>$173M</w:t>
            </w:r>
          </w:p>
        </w:tc>
        <w:tc>
          <w:tcPr>
            <w:tcW w:type="dxa" w:w="1080"/>
          </w:tcPr>
          <w:p>
            <w:r>
              <w:rPr>
                <w:rFonts w:ascii="Calibri" w:hAnsi="Calibri"/>
                <w:sz w:val="22"/>
              </w:rPr>
              <w:t>+0.6%</w:t>
            </w:r>
          </w:p>
        </w:tc>
        <w:tc>
          <w:tcPr>
            <w:tcW w:type="dxa" w:w="1080"/>
          </w:tcPr>
          <w:p>
            <w:r>
              <w:rPr>
                <w:rFonts w:ascii="Calibri" w:hAnsi="Calibri"/>
                <w:sz w:val="22"/>
              </w:rPr>
              <w:t>$160M – $180M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+1.8%</w:t>
            </w:r>
          </w:p>
        </w:tc>
      </w:tr>
      <w:tr>
        <w:tc>
          <w:tcPr>
            <w:tcW w:type="dxa" w:w="1080"/>
          </w:tcPr>
          <w:p>
            <w:r>
              <w:rPr>
                <w:rFonts w:ascii="Calibri" w:hAnsi="Calibri"/>
                <w:sz w:val="22"/>
              </w:rPr>
              <w:t>Adj. EPS (Q2 2026)</w:t>
            </w:r>
          </w:p>
        </w:tc>
        <w:tc>
          <w:tcPr>
            <w:tcW w:type="dxa" w:w="1080"/>
          </w:tcPr>
          <w:p>
            <w:r>
              <w:rPr>
                <w:rFonts w:ascii="Calibri" w:hAnsi="Calibri"/>
                <w:sz w:val="22"/>
              </w:rPr>
              <w:t>$0.287</w:t>
            </w:r>
          </w:p>
        </w:tc>
        <w:tc>
          <w:tcPr>
            <w:tcW w:type="dxa" w:w="1080"/>
          </w:tcPr>
          <w:p>
            <w:r>
              <w:rPr>
                <w:rFonts w:ascii="Calibri" w:hAnsi="Calibri"/>
                <w:sz w:val="22"/>
              </w:rPr>
              <w:t>$0.287</w:t>
            </w:r>
          </w:p>
        </w:tc>
        <w:tc>
          <w:tcPr>
            <w:tcW w:type="dxa" w:w="1080"/>
          </w:tcPr>
          <w:p>
            <w:r>
              <w:rPr>
                <w:rFonts w:ascii="Calibri" w:hAnsi="Calibri"/>
                <w:sz w:val="22"/>
              </w:rPr>
              <w:t>+0.1%</w:t>
            </w:r>
          </w:p>
        </w:tc>
        <w:tc>
          <w:tcPr>
            <w:tcW w:type="dxa" w:w="1080"/>
          </w:tcPr>
          <w:p>
            <w:r>
              <w:rPr>
                <w:rFonts w:ascii="Calibri" w:hAnsi="Calibri"/>
                <w:sz w:val="22"/>
              </w:rPr>
              <w:t>$0.27 – $0.30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w:t>
            </w:r>
          </w:p>
        </w:tc>
      </w:tr>
      <w:tr>
        <w:tc>
          <w:tcPr>
            <w:tcW w:type="dxa" w:w="1080"/>
          </w:tcPr>
          <w:p>
            <w:r>
              <w:rPr>
                <w:rFonts w:ascii="Calibri" w:hAnsi="Calibri"/>
                <w:sz w:val="22"/>
              </w:rPr>
              <w:t>Revenue (FY 2026)</w:t>
            </w:r>
          </w:p>
        </w:tc>
        <w:tc>
          <w:tcPr>
            <w:tcW w:type="dxa" w:w="1080"/>
          </w:tcPr>
          <w:p>
            <w:r>
              <w:rPr>
                <w:rFonts w:ascii="Calibri" w:hAnsi="Calibri"/>
                <w:sz w:val="22"/>
              </w:rPr>
              <w:t>$3,802M</w:t>
            </w:r>
          </w:p>
        </w:tc>
        <w:tc>
          <w:tcPr>
            <w:tcW w:type="dxa" w:w="1080"/>
          </w:tcPr>
          <w:p>
            <w:r>
              <w:rPr>
                <w:rFonts w:ascii="Calibri" w:hAnsi="Calibri"/>
                <w:sz w:val="22"/>
              </w:rPr>
              <w:t>$3,799M</w:t>
            </w:r>
          </w:p>
        </w:tc>
        <w:tc>
          <w:tcPr>
            <w:tcW w:type="dxa" w:w="1080"/>
          </w:tcPr>
          <w:p>
            <w:r>
              <w:rPr>
                <w:rFonts w:ascii="Calibri" w:hAnsi="Calibri"/>
                <w:sz w:val="22"/>
              </w:rPr>
              <w:t>-0.1%</w:t>
            </w:r>
          </w:p>
        </w:tc>
        <w:tc>
          <w:tcPr>
            <w:tcW w:type="dxa" w:w="1080"/>
          </w:tcPr>
          <w:p>
            <w:r>
              <w:rPr>
                <w:rFonts w:ascii="Calibri" w:hAnsi="Calibri"/>
                <w:sz w:val="22"/>
              </w:rPr>
              <w:t>~$3,800M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Adj. EBITDA (FY 2026)</w:t>
            </w:r>
          </w:p>
        </w:tc>
        <w:tc>
          <w:tcPr>
            <w:tcW w:type="dxa" w:w="1080"/>
          </w:tcPr>
          <w:p>
            <w:r>
              <w:rPr>
                <w:rFonts w:ascii="Calibri" w:hAnsi="Calibri"/>
                <w:sz w:val="22"/>
              </w:rPr>
              <w:t>$806M</w:t>
            </w:r>
          </w:p>
        </w:tc>
        <w:tc>
          <w:tcPr>
            <w:tcW w:type="dxa" w:w="1080"/>
          </w:tcPr>
          <w:p>
            <w:r>
              <w:rPr>
                <w:rFonts w:ascii="Calibri" w:hAnsi="Calibri"/>
                <w:sz w:val="22"/>
              </w:rPr>
              <w:t>$805M</w:t>
            </w:r>
          </w:p>
        </w:tc>
        <w:tc>
          <w:tcPr>
            <w:tcW w:type="dxa" w:w="1080"/>
          </w:tcPr>
          <w:p>
            <w:r>
              <w:rPr>
                <w:rFonts w:ascii="Calibri" w:hAnsi="Calibri"/>
                <w:sz w:val="22"/>
              </w:rPr>
              <w:t>-0.1%</w:t>
            </w:r>
          </w:p>
        </w:tc>
        <w:tc>
          <w:tcPr>
            <w:tcW w:type="dxa" w:w="1080"/>
          </w:tcPr>
          <w:p>
            <w:r>
              <w:rPr>
                <w:rFonts w:ascii="Calibri" w:hAnsi="Calibri"/>
                <w:sz w:val="22"/>
              </w:rPr>
              <w:t>$780M – $820M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w:t>
            </w:r>
          </w:p>
        </w:tc>
      </w:tr>
      <w:tr>
        <w:tc>
          <w:tcPr>
            <w:tcW w:type="dxa" w:w="1080"/>
          </w:tcPr>
          <w:p>
            <w:r>
              <w:rPr>
                <w:rFonts w:ascii="Calibri" w:hAnsi="Calibri"/>
                <w:sz w:val="22"/>
              </w:rPr>
              <w:t>Adj. EPS (FY 2026)</w:t>
            </w:r>
          </w:p>
        </w:tc>
        <w:tc>
          <w:tcPr>
            <w:tcW w:type="dxa" w:w="1080"/>
          </w:tcPr>
          <w:p>
            <w:r>
              <w:rPr>
                <w:rFonts w:ascii="Calibri" w:hAnsi="Calibri"/>
                <w:sz w:val="22"/>
              </w:rPr>
              <w:t>$1.364</w:t>
            </w:r>
          </w:p>
        </w:tc>
        <w:tc>
          <w:tcPr>
            <w:tcW w:type="dxa" w:w="1080"/>
          </w:tcPr>
          <w:p>
            <w:r>
              <w:rPr>
                <w:rFonts w:ascii="Calibri" w:hAnsi="Calibri"/>
                <w:sz w:val="22"/>
              </w:rPr>
              <w:t>$1.361</w:t>
            </w:r>
          </w:p>
        </w:tc>
        <w:tc>
          <w:tcPr>
            <w:tcW w:type="dxa" w:w="1080"/>
          </w:tcPr>
          <w:p>
            <w:r>
              <w:rPr>
                <w:rFonts w:ascii="Calibri" w:hAnsi="Calibri"/>
                <w:sz w:val="22"/>
              </w:rPr>
              <w:t>-0.2%</w:t>
            </w:r>
          </w:p>
        </w:tc>
        <w:tc>
          <w:tcPr>
            <w:tcW w:type="dxa" w:w="1080"/>
          </w:tcPr>
          <w:p>
            <w:r>
              <w:rPr>
                <w:rFonts w:ascii="Calibri" w:hAnsi="Calibri"/>
                <w:sz w:val="22"/>
              </w:rPr>
              <w:t>N/A — not guided at FY level</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(revision history May 8 – July 28, 2026); CoStar Group Q1 2026 Earnings Call (April 28, 2026). The near-zero estimate drift across all KPIs since the Q1 print reflects a Street that accepted management's guidance at face value but has not pre-positioned for upside — the EBITDA beat pattern (7 of last 8 quarters) is not yet priced into Q2 consensus.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CSGP has declined ~19% since the Q1 print vs. XLK +10% and SPY +4%, driven almost entirely by </w:t>
      </w:r>
      <w:r>
        <w:rPr>
          <w:rFonts w:ascii="Calibri" w:hAnsi="Calibri"/>
          <w:b/>
          <w:color w:val="525866"/>
          <w:sz w:val="22"/>
        </w:rPr>
        <w:t>multiple compression</w:t>
      </w:r>
      <w:r>
        <w:rPr>
          <w:rFonts w:ascii="Calibri" w:hAnsi="Calibri"/>
          <w:color w:val="525866"/>
          <w:sz w:val="22"/>
        </w:rPr>
        <w:t xml:space="preserve"> (NTM EV/EBITDA contracted from ~17.5x to ~13x over three months) rather than estimate cuts — the stock is now at its cheapest valuation in years, creating a potential mean-reversion opportunity if Q2 execution is clean.</w:t>
      </w:r>
    </w:p>
    <w:p>
      <w:r>
        <w:rPr>
          <w:i/>
        </w:rPr>
        <w:t>[Image not found: gs://lum-production-user-data-store/conversations/6711c415-87e7-4d32-8db0-9df24b6065fc/plotly_charts/csgp_stock_performance_q2_2026.json]</w:t>
      </w:r>
    </w:p>
    <w:p>
      <w:pPr>
        <w:jc w:val="center"/>
      </w:pPr>
      <w:r>
        <w:rPr>
          <w:i/>
          <w:color w:val="666666"/>
          <w:sz w:val="18"/>
        </w:rPr>
        <w:t>CSGP vs. XLK vs. S&amp;P 500 — Indexed to 100 at April 28, 2026 (Q1 2026 Earnings Date). CSGP -19%, XLK +10%, SPY +4% through July 28, 2026. Source: Yahoo Finance.</w:t>
      </w:r>
    </w:p>
    <w:p>
      <w:r>
        <w:rPr>
          <w:rFonts w:ascii="Calibri" w:hAnsi="Calibri"/>
          <w:b/>
          <w:color w:val="525866"/>
          <w:sz w:val="22"/>
        </w:rPr>
        <w:t xml:space="preserve">Note: </w:t>
      </w:r>
      <w:r>
        <w:rPr>
          <w:rFonts w:ascii="Calibri" w:hAnsi="Calibri"/>
          <w:color w:val="525866"/>
          <w:sz w:val="22"/>
        </w:rPr>
        <w:t>Chart above is indexed to 100 at the Q1 2026 earnings date (April 28, 2026). XLK (Technology Select Sector SPDR ETF) is used as the sector benchmark given CSGP's classification as a technology-enabled real estate data and marketplace company. The stock's underperformance vs. XLK (+10%) and SPY (+4%) is driven by multiple compression, not estimate cuts — NTM EV/EBITDA contracted from ~17.5x to ~13x over the period, while NTM revenue estimates moved less than 0.1%. The CFO resignation announcement (July 7–13) coincided with a brief additional leg lower. Source: Yahoo Finance / Stock Price Data.</w:t>
      </w:r>
    </w:p>
    <w:p>
      <w:r>
        <w:rPr>
          <w:rFonts w:ascii="Calibri" w:hAnsi="Calibri"/>
          <w:color w:val="525866"/>
          <w:sz w:val="22"/>
        </w:rPr>
        <w:t>Performance Summary (April 28 – July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Apr 28 Price / Level</w:t>
            </w:r>
          </w:p>
        </w:tc>
        <w:tc>
          <w:tcPr>
            <w:tcW w:type="dxa" w:w="2160"/>
            <w:shd w:val="clear" w:color="auto" w:fill="3B4259"/>
          </w:tcPr>
          <w:p>
            <w:r>
              <w:rPr>
                <w:rFonts w:ascii="Calibri" w:hAnsi="Calibri"/>
                <w:b/>
                <w:color w:val="FFFFFF"/>
                <w:sz w:val="22"/>
              </w:rPr>
              <w:t>Jul 28 Price / Level</w:t>
            </w:r>
          </w:p>
        </w:tc>
        <w:tc>
          <w:tcPr>
            <w:tcW w:type="dxa" w:w="2160"/>
            <w:shd w:val="clear" w:color="auto" w:fill="3B4259"/>
          </w:tcPr>
          <w:p>
            <w:r>
              <w:rPr>
                <w:rFonts w:ascii="Calibri" w:hAnsi="Calibri"/>
                <w:b/>
                <w:color w:val="FFFFFF"/>
                <w:sz w:val="22"/>
              </w:rPr>
              <w:t>Change (%)</w:t>
            </w:r>
          </w:p>
        </w:tc>
      </w:tr>
      <w:tr>
        <w:tc>
          <w:tcPr>
            <w:tcW w:type="dxa" w:w="2160"/>
          </w:tcPr>
          <w:p>
            <w:r>
              <w:rPr>
                <w:rFonts w:ascii="Calibri" w:hAnsi="Calibri"/>
                <w:sz w:val="22"/>
              </w:rPr>
              <w:t>CSGP</w:t>
            </w:r>
          </w:p>
        </w:tc>
        <w:tc>
          <w:tcPr>
            <w:tcW w:type="dxa" w:w="2160"/>
          </w:tcPr>
          <w:p>
            <w:r>
              <w:rPr>
                <w:rFonts w:ascii="Calibri" w:hAnsi="Calibri"/>
                <w:sz w:val="22"/>
              </w:rPr>
              <w:t>$35.96</w:t>
            </w:r>
          </w:p>
        </w:tc>
        <w:tc>
          <w:tcPr>
            <w:tcW w:type="dxa" w:w="2160"/>
          </w:tcPr>
          <w:p>
            <w:r>
              <w:rPr>
                <w:rFonts w:ascii="Calibri" w:hAnsi="Calibri"/>
                <w:sz w:val="22"/>
              </w:rPr>
              <w:t>$29.17</w:t>
            </w:r>
          </w:p>
        </w:tc>
        <w:tc>
          <w:tcPr>
            <w:tcW w:type="dxa" w:w="2160"/>
          </w:tcPr>
          <w:p>
            <w:r>
              <w:rPr>
                <w:rFonts w:ascii="Calibri" w:hAnsi="Calibri"/>
                <w:b/>
                <w:color w:val="E5484D"/>
                <w:sz w:val="22"/>
              </w:rPr>
              <w:t>-18.9%</w:t>
            </w:r>
          </w:p>
        </w:tc>
      </w:tr>
      <w:tr>
        <w:tc>
          <w:tcPr>
            <w:tcW w:type="dxa" w:w="2160"/>
          </w:tcPr>
          <w:p>
            <w:r>
              <w:rPr>
                <w:rFonts w:ascii="Calibri" w:hAnsi="Calibri"/>
                <w:sz w:val="22"/>
              </w:rPr>
              <w:t>XLK (Tech ETF)</w:t>
            </w:r>
          </w:p>
        </w:tc>
        <w:tc>
          <w:tcPr>
            <w:tcW w:type="dxa" w:w="2160"/>
          </w:tcPr>
          <w:p>
            <w:r>
              <w:rPr>
                <w:rFonts w:ascii="Calibri" w:hAnsi="Calibri"/>
                <w:sz w:val="22"/>
              </w:rPr>
              <w:t>$157.85</w:t>
            </w:r>
          </w:p>
        </w:tc>
        <w:tc>
          <w:tcPr>
            <w:tcW w:type="dxa" w:w="2160"/>
          </w:tcPr>
          <w:p>
            <w:r>
              <w:rPr>
                <w:rFonts w:ascii="Calibri" w:hAnsi="Calibri"/>
                <w:sz w:val="22"/>
              </w:rPr>
              <w:t>$174.30</w:t>
            </w:r>
          </w:p>
        </w:tc>
        <w:tc>
          <w:tcPr>
            <w:tcW w:type="dxa" w:w="2160"/>
          </w:tcPr>
          <w:p>
            <w:r>
              <w:rPr>
                <w:rFonts w:ascii="Calibri" w:hAnsi="Calibri"/>
                <w:b/>
                <w:color w:val="30A46C"/>
                <w:sz w:val="22"/>
              </w:rPr>
              <w:t>+10.4%</w:t>
            </w:r>
          </w:p>
        </w:tc>
      </w:tr>
      <w:tr>
        <w:tc>
          <w:tcPr>
            <w:tcW w:type="dxa" w:w="2160"/>
          </w:tcPr>
          <w:p>
            <w:r>
              <w:rPr>
                <w:rFonts w:ascii="Calibri" w:hAnsi="Calibri"/>
                <w:sz w:val="22"/>
              </w:rPr>
              <w:t>SPY (S&amp;P 500)</w:t>
            </w:r>
          </w:p>
        </w:tc>
        <w:tc>
          <w:tcPr>
            <w:tcW w:type="dxa" w:w="2160"/>
          </w:tcPr>
          <w:p>
            <w:r>
              <w:rPr>
                <w:rFonts w:ascii="Calibri" w:hAnsi="Calibri"/>
                <w:sz w:val="22"/>
              </w:rPr>
              <w:t>$711.69</w:t>
            </w:r>
          </w:p>
        </w:tc>
        <w:tc>
          <w:tcPr>
            <w:tcW w:type="dxa" w:w="2160"/>
          </w:tcPr>
          <w:p>
            <w:r>
              <w:rPr>
                <w:rFonts w:ascii="Calibri" w:hAnsi="Calibri"/>
                <w:sz w:val="22"/>
              </w:rPr>
              <w:t>$739.09</w:t>
            </w:r>
          </w:p>
        </w:tc>
        <w:tc>
          <w:tcPr>
            <w:tcW w:type="dxa" w:w="2160"/>
          </w:tcPr>
          <w:p>
            <w:r>
              <w:rPr>
                <w:rFonts w:ascii="Calibri" w:hAnsi="Calibri"/>
                <w:b/>
                <w:color w:val="30A46C"/>
                <w:sz w:val="22"/>
              </w:rPr>
              <w:t>+3.9%</w:t>
            </w:r>
          </w:p>
        </w:tc>
      </w:tr>
    </w:tbl>
    <w:p>
      <w:r>
        <w:rPr>
          <w:rFonts w:ascii="Calibri" w:hAnsi="Calibri"/>
          <w:color w:val="525866"/>
          <w:sz w:val="22"/>
        </w:rPr>
        <w:t>Valuation Decomposition (NTM EV/EBITDA):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Price Change</w:t>
            </w:r>
          </w:p>
        </w:tc>
        <w:tc>
          <w:tcPr>
            <w:tcW w:type="dxa" w:w="1440"/>
            <w:shd w:val="clear" w:color="auto" w:fill="3B4259"/>
          </w:tcPr>
          <w:p>
            <w:r>
              <w:rPr>
                <w:rFonts w:ascii="Calibri" w:hAnsi="Calibri"/>
                <w:b/>
                <w:color w:val="FFFFFF"/>
                <w:sz w:val="22"/>
              </w:rPr>
              <w:t>NTM EV/EBITDA at Start</w:t>
            </w:r>
          </w:p>
        </w:tc>
        <w:tc>
          <w:tcPr>
            <w:tcW w:type="dxa" w:w="1440"/>
            <w:shd w:val="clear" w:color="auto" w:fill="3B4259"/>
          </w:tcPr>
          <w:p>
            <w:r>
              <w:rPr>
                <w:rFonts w:ascii="Calibri" w:hAnsi="Calibri"/>
                <w:b/>
                <w:color w:val="FFFFFF"/>
                <w:sz w:val="22"/>
              </w:rPr>
              <w:t>NTM EV/EBITDA Now</w:t>
            </w:r>
          </w:p>
        </w:tc>
        <w:tc>
          <w:tcPr>
            <w:tcW w:type="dxa" w:w="1440"/>
            <w:shd w:val="clear" w:color="auto" w:fill="3B4259"/>
          </w:tcPr>
          <w:p>
            <w:r>
              <w:rPr>
                <w:rFonts w:ascii="Calibri" w:hAnsi="Calibri"/>
                <w:b/>
                <w:color w:val="FFFFFF"/>
                <w:sz w:val="22"/>
              </w:rPr>
              <w:t>Multiple Change</w:t>
            </w:r>
          </w:p>
        </w:tc>
        <w:tc>
          <w:tcPr>
            <w:tcW w:type="dxa" w:w="1440"/>
            <w:shd w:val="clear" w:color="auto" w:fill="3B4259"/>
          </w:tcPr>
          <w:p>
            <w:r>
              <w:rPr>
                <w:rFonts w:ascii="Calibri" w:hAnsi="Calibri"/>
                <w:b/>
                <w:color w:val="FFFFFF"/>
                <w:sz w:val="22"/>
              </w:rPr>
              <w:t>Analysis</w:t>
            </w:r>
          </w:p>
        </w:tc>
      </w:tr>
      <w:tr>
        <w:tc>
          <w:tcPr>
            <w:tcW w:type="dxa" w:w="1440"/>
          </w:tcPr>
          <w:p>
            <w:r>
              <w:rPr>
                <w:rFonts w:ascii="Calibri" w:hAnsi="Calibri"/>
                <w:sz w:val="22"/>
              </w:rPr>
              <w:t>1 Month</w:t>
            </w:r>
          </w:p>
        </w:tc>
        <w:tc>
          <w:tcPr>
            <w:tcW w:type="dxa" w:w="1440"/>
          </w:tcPr>
          <w:p>
            <w:r>
              <w:rPr>
                <w:rFonts w:ascii="Calibri" w:hAnsi="Calibri"/>
                <w:sz w:val="22"/>
              </w:rPr>
              <w:t>+1.9%</w:t>
            </w:r>
          </w:p>
        </w:tc>
        <w:tc>
          <w:tcPr>
            <w:tcW w:type="dxa" w:w="1440"/>
          </w:tcPr>
          <w:p>
            <w:r>
              <w:rPr>
                <w:rFonts w:ascii="Calibri" w:hAnsi="Calibri"/>
                <w:sz w:val="22"/>
              </w:rPr>
              <w:t>13.1x</w:t>
            </w:r>
          </w:p>
        </w:tc>
        <w:tc>
          <w:tcPr>
            <w:tcW w:type="dxa" w:w="1440"/>
          </w:tcPr>
          <w:p>
            <w:r>
              <w:rPr>
                <w:rFonts w:ascii="Calibri" w:hAnsi="Calibri"/>
                <w:sz w:val="22"/>
              </w:rPr>
              <w:t>11.8x</w:t>
            </w:r>
          </w:p>
        </w:tc>
        <w:tc>
          <w:tcPr>
            <w:tcW w:type="dxa" w:w="1440"/>
          </w:tcPr>
          <w:p>
            <w:r>
              <w:rPr>
                <w:rFonts w:ascii="Calibri" w:hAnsi="Calibri"/>
                <w:sz w:val="22"/>
              </w:rPr>
              <w:t>-9.4%</w:t>
            </w:r>
          </w:p>
        </w:tc>
        <w:tc>
          <w:tcPr>
            <w:tcW w:type="dxa" w:w="1440"/>
          </w:tcPr>
          <w:p>
            <w:r>
              <w:rPr>
                <w:rFonts w:ascii="Calibri" w:hAnsi="Calibri"/>
                <w:sz w:val="22"/>
              </w:rPr>
              <w:t>Multiple compressed even as price recovered slightly; earnings growth absorbing some of the multiple decline</w:t>
            </w:r>
          </w:p>
        </w:tc>
      </w:tr>
      <w:tr>
        <w:tc>
          <w:tcPr>
            <w:tcW w:type="dxa" w:w="1440"/>
          </w:tcPr>
          <w:p>
            <w:r>
              <w:rPr>
                <w:rFonts w:ascii="Calibri" w:hAnsi="Calibri"/>
                <w:sz w:val="22"/>
              </w:rPr>
              <w:t>3 Months</w:t>
            </w:r>
          </w:p>
        </w:tc>
        <w:tc>
          <w:tcPr>
            <w:tcW w:type="dxa" w:w="1440"/>
          </w:tcPr>
          <w:p>
            <w:r>
              <w:rPr>
                <w:rFonts w:ascii="Calibri" w:hAnsi="Calibri"/>
                <w:sz w:val="22"/>
              </w:rPr>
              <w:t>-19.9%</w:t>
            </w:r>
          </w:p>
        </w:tc>
        <w:tc>
          <w:tcPr>
            <w:tcW w:type="dxa" w:w="1440"/>
          </w:tcPr>
          <w:p>
            <w:r>
              <w:rPr>
                <w:rFonts w:ascii="Calibri" w:hAnsi="Calibri"/>
                <w:sz w:val="22"/>
              </w:rPr>
              <w:t>17.5x</w:t>
            </w:r>
          </w:p>
        </w:tc>
        <w:tc>
          <w:tcPr>
            <w:tcW w:type="dxa" w:w="1440"/>
          </w:tcPr>
          <w:p>
            <w:r>
              <w:rPr>
                <w:rFonts w:ascii="Calibri" w:hAnsi="Calibri"/>
                <w:sz w:val="22"/>
              </w:rPr>
              <w:t>11.8x</w:t>
            </w:r>
          </w:p>
        </w:tc>
        <w:tc>
          <w:tcPr>
            <w:tcW w:type="dxa" w:w="1440"/>
          </w:tcPr>
          <w:p>
            <w:r>
              <w:rPr>
                <w:rFonts w:ascii="Calibri" w:hAnsi="Calibri"/>
                <w:sz w:val="22"/>
              </w:rPr>
              <w:t>-32.6%</w:t>
            </w:r>
          </w:p>
        </w:tc>
        <w:tc>
          <w:tcPr>
            <w:tcW w:type="dxa" w:w="1440"/>
          </w:tcPr>
          <w:p>
            <w:r>
              <w:rPr>
                <w:rFonts w:ascii="Calibri" w:hAnsi="Calibri"/>
                <w:sz w:val="22"/>
              </w:rPr>
              <w:t>Multiple compression is the dominant driver; estimates barely moved</w:t>
            </w:r>
          </w:p>
        </w:tc>
      </w:tr>
      <w:tr>
        <w:tc>
          <w:tcPr>
            <w:tcW w:type="dxa" w:w="1440"/>
          </w:tcPr>
          <w:p>
            <w:r>
              <w:rPr>
                <w:rFonts w:ascii="Calibri" w:hAnsi="Calibri"/>
                <w:sz w:val="22"/>
              </w:rPr>
              <w:t>6 Months</w:t>
            </w:r>
          </w:p>
        </w:tc>
        <w:tc>
          <w:tcPr>
            <w:tcW w:type="dxa" w:w="1440"/>
          </w:tcPr>
          <w:p>
            <w:r>
              <w:rPr>
                <w:rFonts w:ascii="Calibri" w:hAnsi="Calibri"/>
                <w:sz w:val="22"/>
              </w:rPr>
              <w:t>-55.5%</w:t>
            </w:r>
          </w:p>
        </w:tc>
        <w:tc>
          <w:tcPr>
            <w:tcW w:type="dxa" w:w="1440"/>
          </w:tcPr>
          <w:p>
            <w:r>
              <w:rPr>
                <w:rFonts w:ascii="Calibri" w:hAnsi="Calibri"/>
                <w:sz w:val="22"/>
              </w:rPr>
              <w:t>34.5x</w:t>
            </w:r>
          </w:p>
        </w:tc>
        <w:tc>
          <w:tcPr>
            <w:tcW w:type="dxa" w:w="1440"/>
          </w:tcPr>
          <w:p>
            <w:r>
              <w:rPr>
                <w:rFonts w:ascii="Calibri" w:hAnsi="Calibri"/>
                <w:sz w:val="22"/>
              </w:rPr>
              <w:t>11.8x</w:t>
            </w:r>
          </w:p>
        </w:tc>
        <w:tc>
          <w:tcPr>
            <w:tcW w:type="dxa" w:w="1440"/>
          </w:tcPr>
          <w:p>
            <w:r>
              <w:rPr>
                <w:rFonts w:ascii="Calibri" w:hAnsi="Calibri"/>
                <w:sz w:val="22"/>
              </w:rPr>
              <w:t>-65.7%</w:t>
            </w:r>
          </w:p>
        </w:tc>
        <w:tc>
          <w:tcPr>
            <w:tcW w:type="dxa" w:w="1440"/>
          </w:tcPr>
          <w:p>
            <w:r>
              <w:rPr>
                <w:rFonts w:ascii="Calibri" w:hAnsi="Calibri"/>
                <w:sz w:val="22"/>
              </w:rPr>
              <w:t>Severe de-rating from peak; stock now at multi-year valuation low</w:t>
            </w:r>
          </w:p>
        </w:tc>
      </w:tr>
    </w:tbl>
    <w:p>
      <w:r>
        <w:rPr>
          <w:rFonts w:ascii="Calibri" w:hAnsi="Calibri"/>
          <w:color w:val="525866"/>
          <w:sz w:val="22"/>
        </w:rPr>
        <w:t>Source: Stock Price Data (Yahoo Finance); Valuation decomposition from Implied stock performance decomposition tool (NTM EV/EBITDA, snapshot July 27, 2026).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CFO departure and replacement</w:t>
      </w:r>
      <w:r>
        <w:rPr>
          <w:rFonts w:ascii="Calibri" w:hAnsi="Calibri"/>
          <w:color w:val="525866"/>
          <w:sz w:val="22"/>
        </w:rPr>
        <w:t xml:space="preserve"> — an internal promotion that limits disruption risk but introduces near-term uncertainty around guidance credibility at a critical inflection point for residential profitability.</w:t>
      </w:r>
    </w:p>
    <w:p>
      <w:pPr>
        <w:pStyle w:val="ListBullet"/>
        <w:ind w:left="360" w:hanging="360"/>
      </w:pPr>
      <w:r>
        <w:rPr>
          <w:rFonts w:ascii="Calibri" w:hAnsi="Calibri"/>
          <w:b/>
          <w:color w:val="525866"/>
          <w:sz w:val="22"/>
        </w:rPr>
        <w:t xml:space="preserve">July 13, 2026 — CFO Transition: </w:t>
      </w:r>
      <w:r>
        <w:rPr>
          <w:rFonts w:ascii="Calibri" w:hAnsi="Calibri"/>
          <w:color w:val="525866"/>
          <w:sz w:val="22"/>
        </w:rPr>
        <w:t xml:space="preserve">Christian Lown resigned effective July 31 for an opportunity outside the industry; Robin Rossmann (Managing Director, Europe, 7 years at CoStar) appointed CFO effective July 31. Rossmann is an internal candidate with a track record of margin improvement in European operations. </w:t>
      </w:r>
      <w:r>
        <w:rPr>
          <w:rFonts w:ascii="Calibri" w:hAnsi="Calibri"/>
          <w:i/>
          <w:color w:val="525866"/>
          <w:sz w:val="22"/>
        </w:rPr>
        <w:t xml:space="preserve">Implication: </w:t>
      </w:r>
      <w:r>
        <w:rPr>
          <w:rFonts w:ascii="Calibri" w:hAnsi="Calibri"/>
          <w:i/>
          <w:color w:val="525866"/>
          <w:sz w:val="22"/>
        </w:rPr>
        <w:t>Transition risk is moderate — Rossmann is known to management and has operational credibility, but the timing (day of Q2 earnings) is awkward and may prompt questions about guidance continuity and the 2030 EBITDA roadmap.</w:t>
      </w:r>
    </w:p>
    <w:p>
      <w:pPr>
        <w:pStyle w:val="ListBullet"/>
        <w:ind w:left="360" w:hanging="360"/>
      </w:pPr>
      <w:r>
        <w:rPr>
          <w:rFonts w:ascii="Calibri" w:hAnsi="Calibri"/>
          <w:b/>
          <w:color w:val="525866"/>
          <w:sz w:val="22"/>
        </w:rPr>
        <w:t xml:space="preserve">April 28, 2026 — Homes.com Price Increase Announced: </w:t>
      </w:r>
      <w:r>
        <w:rPr>
          <w:rFonts w:ascii="Calibri" w:hAnsi="Calibri"/>
          <w:color w:val="525866"/>
          <w:sz w:val="22"/>
        </w:rPr>
        <w:t xml:space="preserve">Management announced subscription fee increases for new Homes.com customers effective May 1, citing an 11x ROI for subscribers (average $36,400 incremental commission vs. $3,400 annual subscription cost). </w:t>
      </w:r>
      <w:r>
        <w:rPr>
          <w:rFonts w:ascii="Calibri" w:hAnsi="Calibri"/>
          <w:i/>
          <w:color w:val="525866"/>
          <w:sz w:val="22"/>
        </w:rPr>
        <w:t xml:space="preserve">Implication: </w:t>
      </w:r>
      <w:r>
        <w:rPr>
          <w:rFonts w:ascii="Calibri" w:hAnsi="Calibri"/>
          <w:i/>
          <w:color w:val="525866"/>
          <w:sz w:val="22"/>
        </w:rPr>
        <w:t>Supports ARPU expansion and revenue acceleration in H2 2026; key metric to watch is whether price increases are driving churn or being absorbed.</w:t>
      </w:r>
    </w:p>
    <w:p>
      <w:pPr>
        <w:pStyle w:val="ListBullet"/>
        <w:ind w:left="360" w:hanging="360"/>
      </w:pPr>
      <w:r>
        <w:rPr>
          <w:rFonts w:ascii="Calibri" w:hAnsi="Calibri"/>
          <w:b/>
          <w:color w:val="525866"/>
          <w:sz w:val="22"/>
        </w:rPr>
        <w:t xml:space="preserve">April 28, 2026 — Activist Overhang Fully Resolved: </w:t>
      </w:r>
      <w:r>
        <w:rPr>
          <w:rFonts w:ascii="Calibri" w:hAnsi="Calibri"/>
          <w:color w:val="525866"/>
          <w:sz w:val="22"/>
        </w:rPr>
        <w:t xml:space="preserve">Third Point exited its position and dropped its proxy fight; management explicitly called the campaign a distraction that weighed on Homes.com sales and partnerships. </w:t>
      </w:r>
      <w:r>
        <w:rPr>
          <w:rFonts w:ascii="Calibri" w:hAnsi="Calibri"/>
          <w:i/>
          <w:color w:val="525866"/>
          <w:sz w:val="22"/>
        </w:rPr>
        <w:t xml:space="preserve">Implication: </w:t>
      </w:r>
      <w:r>
        <w:rPr>
          <w:rFonts w:ascii="Calibri" w:hAnsi="Calibri"/>
          <w:i/>
          <w:color w:val="525866"/>
          <w:sz w:val="22"/>
        </w:rPr>
        <w:t>Removes a key headwind; management expects accelerated revenue across all businesses now that the distraction is gone.</w:t>
      </w:r>
    </w:p>
    <w:p>
      <w:pPr>
        <w:pStyle w:val="ListBullet"/>
        <w:ind w:left="360" w:hanging="360"/>
      </w:pPr>
      <w:r>
        <w:rPr>
          <w:rFonts w:ascii="Calibri" w:hAnsi="Calibri"/>
          <w:b/>
          <w:color w:val="525866"/>
          <w:sz w:val="22"/>
        </w:rPr>
        <w:t xml:space="preserve">April 28, 2026 — FY 2026 Adj. EBITDA Guidance Raised: </w:t>
      </w:r>
      <w:r>
        <w:rPr>
          <w:rFonts w:ascii="Calibri" w:hAnsi="Calibri"/>
          <w:color w:val="525866"/>
          <w:sz w:val="22"/>
        </w:rPr>
        <w:t xml:space="preserve">Raised to $780M–$820M from prior guidance, a $30M increase at the midpoint, driven by AI-enabled personnel cost efficiencies. </w:t>
      </w:r>
      <w:r>
        <w:rPr>
          <w:rFonts w:ascii="Calibri" w:hAnsi="Calibri"/>
          <w:i/>
          <w:color w:val="525866"/>
          <w:sz w:val="22"/>
        </w:rPr>
        <w:t xml:space="preserve">Implication: </w:t>
      </w:r>
      <w:r>
        <w:rPr>
          <w:rFonts w:ascii="Calibri" w:hAnsi="Calibri"/>
          <w:i/>
          <w:color w:val="525866"/>
          <w:sz w:val="22"/>
        </w:rPr>
        <w:t>Demonstrates operating leverage is real and ahead of schedule; sets a higher bar for FY execution.</w:t>
      </w:r>
    </w:p>
    <w:p>
      <w:pPr>
        <w:pStyle w:val="ListBullet"/>
        <w:ind w:left="360" w:hanging="360"/>
      </w:pPr>
      <w:r>
        <w:rPr>
          <w:rFonts w:ascii="Calibri" w:hAnsi="Calibri"/>
          <w:b/>
          <w:color w:val="525866"/>
          <w:sz w:val="22"/>
        </w:rPr>
        <w:t xml:space="preserve">April 28, 2026 — eXp Realty Partnership Expanded: </w:t>
      </w:r>
      <w:r>
        <w:rPr>
          <w:rFonts w:ascii="Calibri" w:hAnsi="Calibri"/>
          <w:color w:val="525866"/>
          <w:sz w:val="22"/>
        </w:rPr>
        <w:t xml:space="preserve">New partnership allows eXp's 30,000 agents to display pre-market 'coming soon' listings on Homes.com. </w:t>
      </w:r>
      <w:r>
        <w:rPr>
          <w:rFonts w:ascii="Calibri" w:hAnsi="Calibri"/>
          <w:i/>
          <w:color w:val="525866"/>
          <w:sz w:val="22"/>
        </w:rPr>
        <w:t xml:space="preserve">Implication: </w:t>
      </w:r>
      <w:r>
        <w:rPr>
          <w:rFonts w:ascii="Calibri" w:hAnsi="Calibri"/>
          <w:i/>
          <w:color w:val="525866"/>
          <w:sz w:val="22"/>
        </w:rPr>
        <w:t>Strengthens Homes.com's listing inventory and agent value proposition; a key competitive differentiator vs. Zillow/Realtor.com.</w:t>
      </w:r>
    </w:p>
    <w:p>
      <w:pPr>
        <w:pStyle w:val="ListBullet"/>
        <w:ind w:left="360" w:hanging="360"/>
      </w:pPr>
      <w:r>
        <w:rPr>
          <w:rFonts w:ascii="Calibri" w:hAnsi="Calibri"/>
          <w:b/>
          <w:color w:val="525866"/>
          <w:sz w:val="22"/>
        </w:rPr>
        <w:t xml:space="preserve">June 25, 2026 — Shareholders Approve New ESPP: </w:t>
      </w:r>
      <w:r>
        <w:rPr>
          <w:rFonts w:ascii="Calibri" w:hAnsi="Calibri"/>
          <w:color w:val="525866"/>
          <w:sz w:val="22"/>
        </w:rPr>
        <w:t xml:space="preserve">Shareholders approved a new Employee Stock Purchase Plan authorizing 2.5 million shares. </w:t>
      </w:r>
      <w:r>
        <w:rPr>
          <w:rFonts w:ascii="Calibri" w:hAnsi="Calibri"/>
          <w:i/>
          <w:color w:val="525866"/>
          <w:sz w:val="22"/>
        </w:rPr>
        <w:t xml:space="preserve">Implication: </w:t>
      </w:r>
      <w:r>
        <w:rPr>
          <w:rFonts w:ascii="Calibri" w:hAnsi="Calibri"/>
          <w:i/>
          <w:color w:val="525866"/>
          <w:sz w:val="22"/>
        </w:rPr>
        <w:t>Routine governance item; signals management focus on employee retention during the CFO transition period.</w:t>
      </w:r>
    </w:p>
    <w:p>
      <w:pPr>
        <w:pStyle w:val="ListBullet"/>
        <w:ind w:left="360" w:hanging="360"/>
      </w:pPr>
      <w:r>
        <w:rPr>
          <w:rFonts w:ascii="Calibri" w:hAnsi="Calibri"/>
          <w:b/>
          <w:color w:val="525866"/>
          <w:sz w:val="22"/>
        </w:rPr>
        <w:t xml:space="preserve">Q2 2026 (ongoing) — CoStar France Launch &amp; Australia Expansion: </w:t>
      </w:r>
      <w:r>
        <w:rPr>
          <w:rFonts w:ascii="Calibri" w:hAnsi="Calibri"/>
          <w:color w:val="525866"/>
          <w:sz w:val="22"/>
        </w:rPr>
        <w:t xml:space="preserve">CoStar France launched in Q2; CoStar and LoopNet expected to launch in Australia in Q3/Q4 2026. </w:t>
      </w:r>
      <w:r>
        <w:rPr>
          <w:rFonts w:ascii="Calibri" w:hAnsi="Calibri"/>
          <w:i/>
          <w:color w:val="525866"/>
          <w:sz w:val="22"/>
        </w:rPr>
        <w:t xml:space="preserve">Implication: </w:t>
      </w:r>
      <w:r>
        <w:rPr>
          <w:rFonts w:ascii="Calibri" w:hAnsi="Calibri"/>
          <w:i/>
          <w:color w:val="525866"/>
          <w:sz w:val="22"/>
        </w:rPr>
        <w:t>International expansion is a medium-term revenue driver; near-term cost headwind as build-out accelerates.</w:t>
      </w:r>
    </w:p>
    <w:p>
      <w:pPr>
        <w:pStyle w:val="ListBullet"/>
        <w:ind w:left="360" w:hanging="360"/>
      </w:pPr>
      <w:r>
        <w:rPr>
          <w:rFonts w:ascii="Calibri" w:hAnsi="Calibri"/>
          <w:b/>
          <w:color w:val="525866"/>
          <w:sz w:val="22"/>
        </w:rPr>
        <w:t xml:space="preserve">Q2 2026 (ongoing) — Apartments AI Launch: </w:t>
      </w:r>
      <w:r>
        <w:rPr>
          <w:rFonts w:ascii="Calibri" w:hAnsi="Calibri"/>
          <w:color w:val="525866"/>
          <w:sz w:val="22"/>
        </w:rPr>
        <w:t xml:space="preserve">Apartments AI (conversational search, same technology as Homes AI) planned for launch ahead of the June Apartmentalize trade show. </w:t>
      </w:r>
      <w:r>
        <w:rPr>
          <w:rFonts w:ascii="Calibri" w:hAnsi="Calibri"/>
          <w:i/>
          <w:color w:val="525866"/>
          <w:sz w:val="22"/>
        </w:rPr>
        <w:t xml:space="preserve">Implication: </w:t>
      </w:r>
      <w:r>
        <w:rPr>
          <w:rFonts w:ascii="Calibri" w:hAnsi="Calibri"/>
          <w:i/>
          <w:color w:val="525866"/>
          <w:sz w:val="22"/>
        </w:rPr>
        <w:t>Extends AI engagement advantage to the multifamily segment; could drive further traffic and lead quality improvements.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The only open-market transaction in the post-Q1 window is a </w:t>
      </w:r>
      <w:r>
        <w:rPr>
          <w:rFonts w:ascii="Calibri" w:hAnsi="Calibri"/>
          <w:b/>
          <w:color w:val="525866"/>
          <w:sz w:val="22"/>
        </w:rPr>
        <w:t>significant open-market purchase by CEO Andrew Florance</w:t>
      </w:r>
      <w:r>
        <w:rPr>
          <w:rFonts w:ascii="Calibri" w:hAnsi="Calibri"/>
          <w:color w:val="525866"/>
          <w:sz w:val="22"/>
        </w:rPr>
        <w:t xml:space="preserve"> — 71,430 shares for approximately $2.5M on May 1, 2026, three days after the Q1 print. This is a strong bullish signal from the insider most informed about the company's trajectory.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Andrew C. Florance</w:t>
            </w:r>
          </w:p>
        </w:tc>
        <w:tc>
          <w:tcPr>
            <w:tcW w:type="dxa" w:w="1234"/>
          </w:tcPr>
          <w:p>
            <w:r>
              <w:rPr>
                <w:rFonts w:ascii="Calibri" w:hAnsi="Calibri"/>
                <w:sz w:val="22"/>
              </w:rPr>
              <w:t>President &amp; CEO, Director</w:t>
            </w:r>
          </w:p>
        </w:tc>
        <w:tc>
          <w:tcPr>
            <w:tcW w:type="dxa" w:w="1234"/>
          </w:tcPr>
          <w:p>
            <w:r>
              <w:rPr>
                <w:rFonts w:ascii="Calibri" w:hAnsi="Calibri"/>
                <w:b/>
                <w:color w:val="30A46C"/>
                <w:sz w:val="22"/>
              </w:rPr>
              <w:t>Open Market Buy</w:t>
            </w:r>
          </w:p>
        </w:tc>
        <w:tc>
          <w:tcPr>
            <w:tcW w:type="dxa" w:w="1234"/>
          </w:tcPr>
          <w:p>
            <w:r>
              <w:rPr>
                <w:rFonts w:ascii="Calibri" w:hAnsi="Calibri"/>
                <w:sz w:val="22"/>
              </w:rPr>
              <w:t>71,430</w:t>
            </w:r>
          </w:p>
        </w:tc>
        <w:tc>
          <w:tcPr>
            <w:tcW w:type="dxa" w:w="1234"/>
          </w:tcPr>
          <w:p>
            <w:r>
              <w:rPr>
                <w:rFonts w:ascii="Calibri" w:hAnsi="Calibri"/>
                <w:sz w:val="22"/>
              </w:rPr>
              <w:t>~$2.5M (at ~$34.72/share)</w:t>
            </w:r>
          </w:p>
        </w:tc>
        <w:tc>
          <w:tcPr>
            <w:tcW w:type="dxa" w:w="1234"/>
          </w:tcPr>
          <w:p>
            <w:r>
              <w:rPr>
                <w:rFonts w:ascii="Calibri" w:hAnsi="Calibri"/>
                <w:sz w:val="22"/>
              </w:rPr>
              <w:t>May 1, 2026</w:t>
            </w:r>
          </w:p>
        </w:tc>
        <w:tc>
          <w:tcPr>
            <w:tcW w:type="dxa" w:w="1234"/>
          </w:tcPr>
          <w:p>
            <w:r>
              <w:rPr>
                <w:rFonts w:ascii="Calibri" w:hAnsi="Calibri"/>
                <w:sz w:val="22"/>
              </w:rPr>
              <w:t>Discretionary open-market purchase; not a 10b5-1 plan. Post-Q1 earnings buy. Total holdings after: 1,722,865 shares.</w:t>
            </w:r>
          </w:p>
        </w:tc>
      </w:tr>
    </w:tbl>
    <w:p>
      <w:r>
        <w:rPr>
          <w:rFonts w:ascii="Calibri" w:hAnsi="Calibri"/>
          <w:color w:val="525866"/>
          <w:sz w:val="22"/>
        </w:rPr>
        <w:t>Source: SEC Form 4 Filing — Andrew C. Florance (CSGP), filed May 4, 2026, transaction date May 1, 2026. No other open-market buys or sells (Form 4 codes P/S) were filed in the April 28 – July 28, 2026 window. The CEO's discretionary purchase of ~$2.5M at $34.72/share — a price ~19% above current levels — is a notable bullish signal, particularly given it occurred immediately after the Q1 print when the stock sold off on below-consensus Q2 revenue guidance.</w:t>
      </w:r>
    </w:p>
    <w:p>
      <w:r>
        <w:br w:type="page"/>
      </w:r>
    </w:p>
    <w:p>
      <w:pPr>
        <w:pStyle w:val="Heading2"/>
      </w:pPr>
      <w:r>
        <w:rPr>
          <w:rFonts w:ascii="Calibri" w:hAnsi="Calibri"/>
          <w:b/>
          <w:color w:val="3B4259"/>
          <w:sz w:val="28"/>
        </w:rPr>
        <w:t>8. Peer Commentary &amp; Current-Quarter Read-Through</w:t>
      </w:r>
    </w:p>
    <w:p>
      <w:r>
        <w:rPr>
          <w:rFonts w:ascii="Calibri" w:hAnsi="Calibri"/>
          <w:b/>
          <w:color w:val="525866"/>
          <w:sz w:val="22"/>
        </w:rPr>
        <w:t xml:space="preserve">Key Takeaway: </w:t>
      </w:r>
      <w:r>
        <w:rPr>
          <w:rFonts w:ascii="Calibri" w:hAnsi="Calibri"/>
          <w:color w:val="525866"/>
          <w:sz w:val="22"/>
        </w:rPr>
        <w:t xml:space="preserve">Qualifying peer read-throughs for CSGP's Q2 2026 are limited — most direct peers (Zillow, Redfin, Compass, RealPage) have not yet reported Q2 2026 results. The available read-throughs come from </w:t>
      </w:r>
      <w:r>
        <w:rPr>
          <w:rFonts w:ascii="Calibri" w:hAnsi="Calibri"/>
          <w:b/>
          <w:color w:val="525866"/>
          <w:sz w:val="22"/>
        </w:rPr>
        <w:t>industry data providers and macro housing market reports published in the last 60 days</w:t>
      </w:r>
      <w:r>
        <w:rPr>
          <w:rFonts w:ascii="Calibri" w:hAnsi="Calibri"/>
          <w:color w:val="525866"/>
          <w:sz w:val="22"/>
        </w:rPr>
        <w:t xml:space="preserve"> that speak to Q2 2026 conditions. These are directional rather than direct, but collectively paint a picture of a housing market that remained sluggish in Q2 (elevated mortgage rates, flat existing home sales) while commercial real estate showed pockets of resilience.</w:t>
      </w:r>
    </w:p>
    <w:p>
      <w:pPr>
        <w:pStyle w:val="Heading3"/>
      </w:pPr>
      <w:r>
        <w:rPr>
          <w:rFonts w:ascii="Calibri" w:hAnsi="Calibri"/>
          <w:b/>
          <w:color w:val="3B4259"/>
          <w:sz w:val="24"/>
        </w:rPr>
        <w:t>Methodology Note</w:t>
      </w:r>
    </w:p>
    <w:p>
      <w:r>
        <w:rPr>
          <w:rFonts w:ascii="Calibri" w:hAnsi="Calibri"/>
          <w:color w:val="525866"/>
          <w:sz w:val="22"/>
        </w:rPr>
        <w:t xml:space="preserve">Per the user's instruction, this section includes </w:t>
      </w:r>
      <w:r>
        <w:rPr>
          <w:rFonts w:ascii="Calibri" w:hAnsi="Calibri"/>
          <w:b/>
          <w:color w:val="525866"/>
          <w:sz w:val="22"/>
        </w:rPr>
        <w:t>only commentary published in the last 60 days (May 28 – July 28, 2026) that addresses Q2 2026 conditions or the period after a peer's prior earnings</w:t>
      </w:r>
      <w:r>
        <w:rPr>
          <w:rFonts w:ascii="Calibri" w:hAnsi="Calibri"/>
          <w:color w:val="525866"/>
          <w:sz w:val="22"/>
        </w:rPr>
        <w:t xml:space="preserve">. Commentary from peers about their own prior-quarter results (e.g., a peer's Q1 2026 earnings call discussing Q1 results) is excluded. No major CSGP direct peer (Zillow, Redfin, CoStar's commercial data competitors) has reported Q2 2026 earnings as of July 28, 2026, so there are no direct peer earnings read-throughs available. The read-throughs below are categorized as: (A) </w:t>
      </w:r>
      <w:r>
        <w:rPr>
          <w:rFonts w:ascii="Calibri" w:hAnsi="Calibri"/>
          <w:b/>
          <w:color w:val="525866"/>
          <w:sz w:val="22"/>
        </w:rPr>
        <w:t>Direct</w:t>
      </w:r>
      <w:r>
        <w:rPr>
          <w:rFonts w:ascii="Calibri" w:hAnsi="Calibri"/>
          <w:color w:val="525866"/>
          <w:sz w:val="22"/>
        </w:rPr>
        <w:t xml:space="preserve"> — from companies that compete directly with CSGP in a specific segment; (B) </w:t>
      </w:r>
      <w:r>
        <w:rPr>
          <w:rFonts w:ascii="Calibri" w:hAnsi="Calibri"/>
          <w:b/>
          <w:color w:val="525866"/>
          <w:sz w:val="22"/>
        </w:rPr>
        <w:t>Directional</w:t>
      </w:r>
      <w:r>
        <w:rPr>
          <w:rFonts w:ascii="Calibri" w:hAnsi="Calibri"/>
          <w:color w:val="525866"/>
          <w:sz w:val="22"/>
        </w:rPr>
        <w:t xml:space="preserve"> — from industry data or adjacent companies that inform the demand environment for CSGP's end markets.</w:t>
      </w:r>
    </w:p>
    <w:p>
      <w:pPr>
        <w:pStyle w:val="Heading3"/>
      </w:pPr>
      <w:r>
        <w:rPr>
          <w:rFonts w:ascii="Calibri" w:hAnsi="Calibri"/>
          <w:b/>
          <w:color w:val="3B4259"/>
          <w:sz w:val="24"/>
        </w:rPr>
        <w:t>A. Residential Real Estate End Market (Directional Read-Throughs)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Source</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Relevance</w:t>
            </w:r>
          </w:p>
        </w:tc>
        <w:tc>
          <w:tcPr>
            <w:tcW w:type="dxa" w:w="1728"/>
            <w:shd w:val="clear" w:color="auto" w:fill="3B4259"/>
          </w:tcPr>
          <w:p>
            <w:r>
              <w:rPr>
                <w:rFonts w:ascii="Calibri" w:hAnsi="Calibri"/>
                <w:b/>
                <w:color w:val="FFFFFF"/>
                <w:sz w:val="22"/>
              </w:rPr>
              <w:t>Commentary</w:t>
            </w:r>
          </w:p>
        </w:tc>
        <w:tc>
          <w:tcPr>
            <w:tcW w:type="dxa" w:w="1728"/>
            <w:shd w:val="clear" w:color="auto" w:fill="3B4259"/>
          </w:tcPr>
          <w:p>
            <w:r>
              <w:rPr>
                <w:rFonts w:ascii="Calibri" w:hAnsi="Calibri"/>
                <w:b/>
                <w:color w:val="FFFFFF"/>
                <w:sz w:val="22"/>
              </w:rPr>
              <w:t>CSGP Read-Through</w:t>
            </w:r>
          </w:p>
        </w:tc>
      </w:tr>
      <w:tr>
        <w:tc>
          <w:tcPr>
            <w:tcW w:type="dxa" w:w="1728"/>
          </w:tcPr>
          <w:p>
            <w:r>
              <w:rPr>
                <w:rFonts w:ascii="Calibri" w:hAnsi="Calibri"/>
                <w:sz w:val="22"/>
              </w:rPr>
              <w:t>Zillow June Market Report</w:t>
            </w:r>
          </w:p>
        </w:tc>
        <w:tc>
          <w:tcPr>
            <w:tcW w:type="dxa" w:w="1728"/>
          </w:tcPr>
          <w:p>
            <w:r>
              <w:rPr>
                <w:rFonts w:ascii="Calibri" w:hAnsi="Calibri"/>
                <w:sz w:val="22"/>
              </w:rPr>
              <w:t>June 23 / July 7, 2026</w:t>
            </w:r>
          </w:p>
        </w:tc>
        <w:tc>
          <w:tcPr>
            <w:tcW w:type="dxa" w:w="1728"/>
          </w:tcPr>
          <w:p>
            <w:r>
              <w:rPr>
                <w:rFonts w:ascii="Calibri" w:hAnsi="Calibri"/>
                <w:sz w:val="22"/>
              </w:rPr>
              <w:t>Directional — Zillow is a direct Homes.com competitor; its market data reflects the same residential demand environment</w:t>
            </w:r>
          </w:p>
        </w:tc>
        <w:tc>
          <w:tcPr>
            <w:tcW w:type="dxa" w:w="1728"/>
          </w:tcPr>
          <w:p>
            <w:r>
              <w:rPr>
                <w:rFonts w:ascii="Calibri" w:hAnsi="Calibri"/>
                <w:sz w:val="22"/>
              </w:rPr>
              <w:t>Zillow revised its 2026 existing home sales forecast down to 3.76M (from 3.8M), citing a Q2 slowdown driven by rising mortgage rates. Sales growth dropped from +5.5% YoY in March to +0.8% YoY in June. Home values projected to rise just 0.1% in 2026. Zillow projects single-family rents +3.1% and multifamily rents +2.0% in 2026.</w:t>
            </w:r>
          </w:p>
        </w:tc>
        <w:tc>
          <w:tcPr>
            <w:tcW w:type="dxa" w:w="1728"/>
          </w:tcPr>
          <w:p>
            <w:r>
              <w:rPr>
                <w:rFonts w:ascii="Calibri" w:hAnsi="Calibri"/>
                <w:sz w:val="22"/>
              </w:rPr>
              <w:t>Negative for Homes.com transaction-adjacent revenue; flat home sales reduce agent urgency to subscribe. However, CSGP's Homes.com model is subscription-based (not transaction-based), so volume slowdown is less directly harmful than for Zillow's Premier Agent. Multifamily rent growth of +2% is modest but positive for Apartments.com pricing power.</w:t>
            </w:r>
          </w:p>
        </w:tc>
      </w:tr>
      <w:tr>
        <w:tc>
          <w:tcPr>
            <w:tcW w:type="dxa" w:w="1728"/>
          </w:tcPr>
          <w:p>
            <w:r>
              <w:rPr>
                <w:rFonts w:ascii="Calibri" w:hAnsi="Calibri"/>
                <w:sz w:val="22"/>
              </w:rPr>
              <w:t>Redfin / MortgagePoint Housing Data</w:t>
            </w:r>
          </w:p>
        </w:tc>
        <w:tc>
          <w:tcPr>
            <w:tcW w:type="dxa" w:w="1728"/>
          </w:tcPr>
          <w:p>
            <w:r>
              <w:rPr>
                <w:rFonts w:ascii="Calibri" w:hAnsi="Calibri"/>
                <w:sz w:val="22"/>
              </w:rPr>
              <w:t>July 10, 2026</w:t>
            </w:r>
          </w:p>
        </w:tc>
        <w:tc>
          <w:tcPr>
            <w:tcW w:type="dxa" w:w="1728"/>
          </w:tcPr>
          <w:p>
            <w:r>
              <w:rPr>
                <w:rFonts w:ascii="Calibri" w:hAnsi="Calibri"/>
                <w:sz w:val="22"/>
              </w:rPr>
              <w:t>Directional — Redfin is a direct Homes.com competitor; its weekly data reflects real-time residential demand</w:t>
            </w:r>
          </w:p>
        </w:tc>
        <w:tc>
          <w:tcPr>
            <w:tcW w:type="dxa" w:w="1728"/>
          </w:tcPr>
          <w:p>
            <w:r>
              <w:rPr>
                <w:rFonts w:ascii="Calibri" w:hAnsi="Calibri"/>
                <w:sz w:val="22"/>
              </w:rPr>
              <w:t>Pending home sales rose 1.3% WoW for the four weeks ending July 5, reaching the highest level since early May, driven by a temporary mortgage rate dip to 6.43% (lowest in 6 weeks). However, rates rebounded to 6.68% by July 8. Median sale price +2.2% YoY to $408,808. New listings fell 2.5% WoW to the lowest since January. Redfin's head of economics noted 'near-record prices and a lack of new listings are keeping many would-be buyers on the sidelines.'</w:t>
            </w:r>
          </w:p>
        </w:tc>
        <w:tc>
          <w:tcPr>
            <w:tcW w:type="dxa" w:w="1728"/>
          </w:tcPr>
          <w:p>
            <w:r>
              <w:rPr>
                <w:rFonts w:ascii="Calibri" w:hAnsi="Calibri"/>
                <w:sz w:val="22"/>
              </w:rPr>
              <w:t>Mixed: the brief rate dip and pending sales uptick suggest latent demand exists, which is positive for agent activity and Homes.com subscriber ROI. But the new listings shortage and rate volatility are structural headwinds to transaction volume. For CSGP, the key question is whether agent subscribers are seeing enough commission uplift to justify renewals despite a slow market.</w:t>
            </w:r>
          </w:p>
        </w:tc>
      </w:tr>
      <w:tr>
        <w:tc>
          <w:tcPr>
            <w:tcW w:type="dxa" w:w="1728"/>
          </w:tcPr>
          <w:p>
            <w:r>
              <w:rPr>
                <w:rFonts w:ascii="Calibri" w:hAnsi="Calibri"/>
                <w:sz w:val="22"/>
              </w:rPr>
              <w:t>Compass (COMP) — Antitrust Investigation</w:t>
            </w:r>
          </w:p>
        </w:tc>
        <w:tc>
          <w:tcPr>
            <w:tcW w:type="dxa" w:w="1728"/>
          </w:tcPr>
          <w:p>
            <w:r>
              <w:rPr>
                <w:rFonts w:ascii="Calibri" w:hAnsi="Calibri"/>
                <w:sz w:val="22"/>
              </w:rPr>
              <w:t>June 3, 2026</w:t>
            </w:r>
          </w:p>
        </w:tc>
        <w:tc>
          <w:tcPr>
            <w:tcW w:type="dxa" w:w="1728"/>
          </w:tcPr>
          <w:p>
            <w:r>
              <w:rPr>
                <w:rFonts w:ascii="Calibri" w:hAnsi="Calibri"/>
                <w:sz w:val="22"/>
              </w:rPr>
              <w:t>Direct — Compass is a major residential brokerage; its regulatory challenges affect the competitive landscape for agent-facing platforms</w:t>
            </w:r>
          </w:p>
        </w:tc>
        <w:tc>
          <w:tcPr>
            <w:tcW w:type="dxa" w:w="1728"/>
          </w:tcPr>
          <w:p>
            <w:r>
              <w:rPr>
                <w:rFonts w:ascii="Calibri" w:hAnsi="Calibri"/>
                <w:sz w:val="22"/>
              </w:rPr>
              <w:t>Compass faces a New York antitrust investigation following its $1.6B acquisition of a rival, causing shares to drop 12%. The investigation focuses on whether the combined entity has anticompetitive market power in residential brokerage.</w:t>
            </w:r>
          </w:p>
        </w:tc>
        <w:tc>
          <w:tcPr>
            <w:tcW w:type="dxa" w:w="1728"/>
          </w:tcPr>
          <w:p>
            <w:r>
              <w:rPr>
                <w:rFonts w:ascii="Calibri" w:hAnsi="Calibri"/>
                <w:sz w:val="22"/>
              </w:rPr>
              <w:t>Modestly positive for CSGP: regulatory pressure on large brokerages could slow consolidation and keep independent agents reliant on third-party platforms like Homes.com. Compass's distraction may also slow its own portal/technology investments, reducing competitive pressure on Homes.com's agent-centric model.</w:t>
            </w:r>
          </w:p>
        </w:tc>
      </w:tr>
      <w:tr>
        <w:tc>
          <w:tcPr>
            <w:tcW w:type="dxa" w:w="1728"/>
          </w:tcPr>
          <w:p>
            <w:r>
              <w:rPr>
                <w:rFonts w:ascii="Calibri" w:hAnsi="Calibri"/>
                <w:sz w:val="22"/>
              </w:rPr>
              <w:t>Opendoor (OPEN) — India Operations Closure</w:t>
            </w:r>
          </w:p>
        </w:tc>
        <w:tc>
          <w:tcPr>
            <w:tcW w:type="dxa" w:w="1728"/>
          </w:tcPr>
          <w:p>
            <w:r>
              <w:rPr>
                <w:rFonts w:ascii="Calibri" w:hAnsi="Calibri"/>
                <w:sz w:val="22"/>
              </w:rPr>
              <w:t>June 11, 2026</w:t>
            </w:r>
          </w:p>
        </w:tc>
        <w:tc>
          <w:tcPr>
            <w:tcW w:type="dxa" w:w="1728"/>
          </w:tcPr>
          <w:p>
            <w:r>
              <w:rPr>
                <w:rFonts w:ascii="Calibri" w:hAnsi="Calibri"/>
                <w:sz w:val="22"/>
              </w:rPr>
              <w:t>Directional — Opendoor's cost restructuring reflects broader iBuyer/proptech sector rationalization</w:t>
            </w:r>
          </w:p>
        </w:tc>
        <w:tc>
          <w:tcPr>
            <w:tcW w:type="dxa" w:w="1728"/>
          </w:tcPr>
          <w:p>
            <w:r>
              <w:rPr>
                <w:rFonts w:ascii="Calibri" w:hAnsi="Calibri"/>
                <w:sz w:val="22"/>
              </w:rPr>
              <w:t>Opendoor shut its India operations, laying off 250 employees, citing a shift to AI-native teams and bringing operations back to the U.S. The move is part of a broader industry conversation about AI replacing offshore outsourcing in real estate tech.</w:t>
            </w:r>
          </w:p>
        </w:tc>
        <w:tc>
          <w:tcPr>
            <w:tcW w:type="dxa" w:w="1728"/>
          </w:tcPr>
          <w:p>
            <w:r>
              <w:rPr>
                <w:rFonts w:ascii="Calibri" w:hAnsi="Calibri"/>
                <w:sz w:val="22"/>
              </w:rPr>
              <w:t>Directionally positive for CSGP's AI-driven cost efficiency narrative: the sector is broadly validating that AI can replace headcount in real estate tech operations, consistent with CSGP's own Q1 EBITDA outperformance driven by AI-enabled personnel cost reductions.</w:t>
            </w:r>
          </w:p>
        </w:tc>
      </w:tr>
    </w:tbl>
    <w:p>
      <w:pPr>
        <w:pStyle w:val="Heading3"/>
      </w:pPr>
      <w:r>
        <w:rPr>
          <w:rFonts w:ascii="Calibri" w:hAnsi="Calibri"/>
          <w:b/>
          <w:color w:val="3B4259"/>
          <w:sz w:val="24"/>
        </w:rPr>
        <w:t>B. Commercial Real Estate End Market (Directional Read-Throughs)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Source</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Relevance</w:t>
            </w:r>
          </w:p>
        </w:tc>
        <w:tc>
          <w:tcPr>
            <w:tcW w:type="dxa" w:w="1728"/>
            <w:shd w:val="clear" w:color="auto" w:fill="3B4259"/>
          </w:tcPr>
          <w:p>
            <w:r>
              <w:rPr>
                <w:rFonts w:ascii="Calibri" w:hAnsi="Calibri"/>
                <w:b/>
                <w:color w:val="FFFFFF"/>
                <w:sz w:val="22"/>
              </w:rPr>
              <w:t>Commentary</w:t>
            </w:r>
          </w:p>
        </w:tc>
        <w:tc>
          <w:tcPr>
            <w:tcW w:type="dxa" w:w="1728"/>
            <w:shd w:val="clear" w:color="auto" w:fill="3B4259"/>
          </w:tcPr>
          <w:p>
            <w:r>
              <w:rPr>
                <w:rFonts w:ascii="Calibri" w:hAnsi="Calibri"/>
                <w:b/>
                <w:color w:val="FFFFFF"/>
                <w:sz w:val="22"/>
              </w:rPr>
              <w:t>CSGP Read-Through</w:t>
            </w:r>
          </w:p>
        </w:tc>
      </w:tr>
      <w:tr>
        <w:tc>
          <w:tcPr>
            <w:tcW w:type="dxa" w:w="1728"/>
          </w:tcPr>
          <w:p>
            <w:r>
              <w:rPr>
                <w:rFonts w:ascii="Calibri" w:hAnsi="Calibri"/>
                <w:sz w:val="22"/>
              </w:rPr>
              <w:t>CBRE Capital Edge Q2 2026 (Australia)</w:t>
            </w:r>
          </w:p>
        </w:tc>
        <w:tc>
          <w:tcPr>
            <w:tcW w:type="dxa" w:w="1728"/>
          </w:tcPr>
          <w:p>
            <w:r>
              <w:rPr>
                <w:rFonts w:ascii="Calibri" w:hAnsi="Calibri"/>
                <w:sz w:val="22"/>
              </w:rPr>
              <w:t>July 22, 2026</w:t>
            </w:r>
          </w:p>
        </w:tc>
        <w:tc>
          <w:tcPr>
            <w:tcW w:type="dxa" w:w="1728"/>
          </w:tcPr>
          <w:p>
            <w:r>
              <w:rPr>
                <w:rFonts w:ascii="Calibri" w:hAnsi="Calibri"/>
                <w:sz w:val="22"/>
              </w:rPr>
              <w:t>Directional — CBRE's market data covers the Australian CRE market where CSGP is actively expanding (CoStar/LoopNet Australia launch planned Q3/Q4 2026)</w:t>
            </w:r>
          </w:p>
        </w:tc>
        <w:tc>
          <w:tcPr>
            <w:tcW w:type="dxa" w:w="1728"/>
          </w:tcPr>
          <w:p>
            <w:r>
              <w:rPr>
                <w:rFonts w:ascii="Calibri" w:hAnsi="Calibri"/>
                <w:sz w:val="22"/>
              </w:rPr>
              <w:t>Australian CRE transaction activity remained strong in H1 2026 despite market volatility, with volumes increasing YoY across every asset class. Retail recorded the highest transaction activity YTD at $6.1B. Office was investors' preferred asset class for the first time since 2019. Tax legislation changes in the May Federal Budget are expected to broaden the investor base and rotate private capital toward commercial property.</w:t>
            </w:r>
          </w:p>
        </w:tc>
        <w:tc>
          <w:tcPr>
            <w:tcW w:type="dxa" w:w="1728"/>
          </w:tcPr>
          <w:p>
            <w:r>
              <w:rPr>
                <w:rFonts w:ascii="Calibri" w:hAnsi="Calibri"/>
                <w:sz w:val="22"/>
              </w:rPr>
              <w:t>Positive for CSGP's Australia expansion thesis: a strengthening CRE market in Australia validates the timing of CoStar/LoopNet's planned Q3/Q4 2026 launch. Improving investor activity and office demand create a receptive market for CSGP's commercial data and marketplace products. This is a medium-term revenue opportunity, not a Q2 driver.</w:t>
            </w:r>
          </w:p>
        </w:tc>
      </w:tr>
      <w:tr>
        <w:tc>
          <w:tcPr>
            <w:tcW w:type="dxa" w:w="1728"/>
          </w:tcPr>
          <w:p>
            <w:r>
              <w:rPr>
                <w:rFonts w:ascii="Calibri" w:hAnsi="Calibri"/>
                <w:sz w:val="22"/>
              </w:rPr>
              <w:t>CBRE Seoul Grade A Office Q2 2026</w:t>
            </w:r>
          </w:p>
        </w:tc>
        <w:tc>
          <w:tcPr>
            <w:tcW w:type="dxa" w:w="1728"/>
          </w:tcPr>
          <w:p>
            <w:r>
              <w:rPr>
                <w:rFonts w:ascii="Calibri" w:hAnsi="Calibri"/>
                <w:sz w:val="22"/>
              </w:rPr>
              <w:t>July 27, 2026</w:t>
            </w:r>
          </w:p>
        </w:tc>
        <w:tc>
          <w:tcPr>
            <w:tcW w:type="dxa" w:w="1728"/>
          </w:tcPr>
          <w:p>
            <w:r>
              <w:rPr>
                <w:rFonts w:ascii="Calibri" w:hAnsi="Calibri"/>
                <w:sz w:val="22"/>
              </w:rPr>
              <w:t>Directional — International CRE market health is relevant to CSGP's international expansion strategy (CoStar UK, Europe, Australia)</w:t>
            </w:r>
          </w:p>
        </w:tc>
        <w:tc>
          <w:tcPr>
            <w:tcW w:type="dxa" w:w="1728"/>
          </w:tcPr>
          <w:p>
            <w:r>
              <w:rPr>
                <w:rFonts w:ascii="Calibri" w:hAnsi="Calibri"/>
                <w:sz w:val="22"/>
              </w:rPr>
              <w:t>Seoul Grade A office new leasing volume reached its highest level since Q1 2025 in Q2 2026, driven by strategic relocations and IT/manufacturing expansions. Average face rent rose 1.4% QoQ. However, CRE investment volume fell 21% YoY to KRW 5.8T, with the Bank of Korea's July rate increase adding to borrowing pressures. Investors expected to become more selective in H2 2026.</w:t>
            </w:r>
          </w:p>
        </w:tc>
        <w:tc>
          <w:tcPr>
            <w:tcW w:type="dxa" w:w="1728"/>
          </w:tcPr>
          <w:p>
            <w:r>
              <w:rPr>
                <w:rFonts w:ascii="Calibri" w:hAnsi="Calibri"/>
                <w:sz w:val="22"/>
              </w:rPr>
              <w:t>Mixed: strong leasing activity is positive for CRE data demand (CoStar's core product), but rising funding costs and declining investment volumes could slow transaction-related data subscriptions. The divergence between leasing strength and investment weakness mirrors the U.S. CRE dynamic that CSGP has navigated successfully.</w:t>
            </w:r>
          </w:p>
        </w:tc>
      </w:tr>
      <w:tr>
        <w:tc>
          <w:tcPr>
            <w:tcW w:type="dxa" w:w="1728"/>
          </w:tcPr>
          <w:p>
            <w:r>
              <w:rPr>
                <w:rFonts w:ascii="Calibri" w:hAnsi="Calibri"/>
                <w:sz w:val="22"/>
              </w:rPr>
              <w:t>CBRE Hong Kong CRE Market Q2 2026</w:t>
            </w:r>
          </w:p>
        </w:tc>
        <w:tc>
          <w:tcPr>
            <w:tcW w:type="dxa" w:w="1728"/>
          </w:tcPr>
          <w:p>
            <w:r>
              <w:rPr>
                <w:rFonts w:ascii="Calibri" w:hAnsi="Calibri"/>
                <w:sz w:val="22"/>
              </w:rPr>
              <w:t>July 7, 2026</w:t>
            </w:r>
          </w:p>
        </w:tc>
        <w:tc>
          <w:tcPr>
            <w:tcW w:type="dxa" w:w="1728"/>
          </w:tcPr>
          <w:p>
            <w:r>
              <w:rPr>
                <w:rFonts w:ascii="Calibri" w:hAnsi="Calibri"/>
                <w:sz w:val="22"/>
              </w:rPr>
              <w:t>Directional — International CRE market health; relevant to CSGP's international expansion narrative</w:t>
            </w:r>
          </w:p>
        </w:tc>
        <w:tc>
          <w:tcPr>
            <w:tcW w:type="dxa" w:w="1728"/>
          </w:tcPr>
          <w:p>
            <w:r>
              <w:rPr>
                <w:rFonts w:ascii="Calibri" w:hAnsi="Calibri"/>
                <w:sz w:val="22"/>
              </w:rPr>
              <w:t>Hong Kong CRE continued recovery in Q2 2026: Grade A office leasing momentum rose 23% QoQ to 1.1M sq. ft.; citywide net absorption reached 569,600 sq. ft. in Q2 (vs. -88,000 sq. ft. in H1 2025). Investment volume jumped 50% YoY in H1 2026. CBRE expects occupier markets to further improve in H2 2026.</w:t>
            </w:r>
          </w:p>
        </w:tc>
        <w:tc>
          <w:tcPr>
            <w:tcW w:type="dxa" w:w="1728"/>
          </w:tcPr>
          <w:p>
            <w:r>
              <w:rPr>
                <w:rFonts w:ascii="Calibri" w:hAnsi="Calibri"/>
                <w:sz w:val="22"/>
              </w:rPr>
              <w:t>Directionally positive: improving international CRE fundamentals support the demand environment for CSGP's international data products (CoStar UK, OnTheMarket, Domain Australia). Not a direct Q2 driver but validates the international expansion investment thesis.</w:t>
            </w:r>
          </w:p>
        </w:tc>
      </w:tr>
      <w:tr>
        <w:tc>
          <w:tcPr>
            <w:tcW w:type="dxa" w:w="1728"/>
          </w:tcPr>
          <w:p>
            <w:r>
              <w:rPr>
                <w:rFonts w:ascii="Calibri" w:hAnsi="Calibri"/>
                <w:sz w:val="22"/>
              </w:rPr>
              <w:t>CBRE Industrial Leasing (U.S.) — Mega Leases</w:t>
            </w:r>
          </w:p>
        </w:tc>
        <w:tc>
          <w:tcPr>
            <w:tcW w:type="dxa" w:w="1728"/>
          </w:tcPr>
          <w:p>
            <w:r>
              <w:rPr>
                <w:rFonts w:ascii="Calibri" w:hAnsi="Calibri"/>
                <w:sz w:val="22"/>
              </w:rPr>
              <w:t>H1 2026 (reported July 2026)</w:t>
            </w:r>
          </w:p>
        </w:tc>
        <w:tc>
          <w:tcPr>
            <w:tcW w:type="dxa" w:w="1728"/>
          </w:tcPr>
          <w:p>
            <w:r>
              <w:rPr>
                <w:rFonts w:ascii="Calibri" w:hAnsi="Calibri"/>
                <w:sz w:val="22"/>
              </w:rPr>
              <w:t>Directional — U.S. industrial CRE activity is a key demand driver for CoStar Suite and LoopNet subscriptions</w:t>
            </w:r>
          </w:p>
        </w:tc>
        <w:tc>
          <w:tcPr>
            <w:tcW w:type="dxa" w:w="1728"/>
          </w:tcPr>
          <w:p>
            <w:r>
              <w:rPr>
                <w:rFonts w:ascii="Calibri" w:hAnsi="Calibri"/>
                <w:sz w:val="22"/>
              </w:rPr>
              <w:t>Mega industrial leases (top 100 deals) more than doubled in H1 2026, totaling 93.6M sq. ft. — up 26% YoY. This signals robust large-tenant activity in the industrial/logistics sector.</w:t>
            </w:r>
          </w:p>
        </w:tc>
        <w:tc>
          <w:tcPr>
            <w:tcW w:type="dxa" w:w="1728"/>
          </w:tcPr>
          <w:p>
            <w:r>
              <w:rPr>
                <w:rFonts w:ascii="Calibri" w:hAnsi="Calibri"/>
                <w:sz w:val="22"/>
              </w:rPr>
              <w:t>Positive for CoStar Suite and LoopNet: elevated industrial leasing activity drives demand for CoStar's commercial data subscriptions among brokers, tenants, and landlords. This is consistent with CSGP's Q1 commentary that broker sales were up 29% and tenant sales up 27% YoY.</w:t>
            </w:r>
          </w:p>
        </w:tc>
      </w:tr>
    </w:tbl>
    <w:p>
      <w:pPr>
        <w:pStyle w:val="Heading3"/>
      </w:pPr>
      <w:r>
        <w:rPr>
          <w:rFonts w:ascii="Calibri" w:hAnsi="Calibri"/>
          <w:b/>
          <w:color w:val="3B4259"/>
          <w:sz w:val="24"/>
        </w:rPr>
        <w:t>C. Excluded Commentary — Why Certain Peers Are Not Included</w:t>
      </w:r>
    </w:p>
    <w:p>
      <w:r>
        <w:rPr>
          <w:rFonts w:ascii="Calibri" w:hAnsi="Calibri"/>
          <w:color w:val="525866"/>
          <w:sz w:val="22"/>
        </w:rPr>
        <w:t>The following peers were considered but excluded from the read-through section:</w:t>
      </w:r>
    </w:p>
    <w:p>
      <w:pPr>
        <w:pStyle w:val="ListBullet"/>
        <w:ind w:left="360" w:hanging="360"/>
      </w:pPr>
      <w:r>
        <w:rPr>
          <w:rFonts w:ascii="Calibri" w:hAnsi="Calibri"/>
          <w:b/>
          <w:color w:val="525866"/>
          <w:sz w:val="22"/>
        </w:rPr>
        <w:t xml:space="preserve">Zillow (Z/ZG) Q1 2026 Earnings (May 2026): </w:t>
      </w:r>
      <w:r>
        <w:rPr>
          <w:rFonts w:ascii="Calibri" w:hAnsi="Calibri"/>
          <w:color w:val="525866"/>
          <w:sz w:val="22"/>
        </w:rPr>
        <w:t>Excluded because this commentary addressed Q1 2026 results, not Q2 2026 conditions. Only Zillow's forward-looking market data (June/July 2026 market reports) is included above.</w:t>
      </w:r>
    </w:p>
    <w:p>
      <w:pPr>
        <w:pStyle w:val="ListBullet"/>
        <w:ind w:left="360" w:hanging="360"/>
      </w:pPr>
      <w:r>
        <w:rPr>
          <w:rFonts w:ascii="Calibri" w:hAnsi="Calibri"/>
          <w:b/>
          <w:color w:val="525866"/>
          <w:sz w:val="22"/>
        </w:rPr>
        <w:t xml:space="preserve">Redfin Q1 2026 Earnings: </w:t>
      </w:r>
      <w:r>
        <w:rPr>
          <w:rFonts w:ascii="Calibri" w:hAnsi="Calibri"/>
          <w:color w:val="525866"/>
          <w:sz w:val="22"/>
        </w:rPr>
        <w:t>Excluded for the same reason — Q1 result commentary is not a Q2 read-through. Only Redfin's July 2026 weekly housing data is included.</w:t>
      </w:r>
    </w:p>
    <w:p>
      <w:pPr>
        <w:pStyle w:val="ListBullet"/>
        <w:ind w:left="360" w:hanging="360"/>
      </w:pPr>
      <w:r>
        <w:rPr>
          <w:rFonts w:ascii="Calibri" w:hAnsi="Calibri"/>
          <w:b/>
          <w:color w:val="525866"/>
          <w:sz w:val="22"/>
        </w:rPr>
        <w:t xml:space="preserve">JLL Q2 2026 Earnings: </w:t>
      </w:r>
      <w:r>
        <w:rPr>
          <w:rFonts w:ascii="Calibri" w:hAnsi="Calibri"/>
          <w:color w:val="525866"/>
          <w:sz w:val="22"/>
        </w:rPr>
        <w:t>JLL announced its Q2 2026 earnings release details (June 25, 2026) but has not yet reported results as of July 28, 2026. No qualifying commentary available.</w:t>
      </w:r>
    </w:p>
    <w:p>
      <w:pPr>
        <w:pStyle w:val="ListBullet"/>
        <w:ind w:left="360" w:hanging="360"/>
      </w:pPr>
      <w:r>
        <w:rPr>
          <w:rFonts w:ascii="Calibri" w:hAnsi="Calibri"/>
          <w:b/>
          <w:color w:val="525866"/>
          <w:sz w:val="22"/>
        </w:rPr>
        <w:t xml:space="preserve">Rocket Companies (RKT): </w:t>
      </w:r>
      <w:r>
        <w:rPr>
          <w:rFonts w:ascii="Calibri" w:hAnsi="Calibri"/>
          <w:color w:val="525866"/>
          <w:sz w:val="22"/>
        </w:rPr>
        <w:t>Announced Q2 2026 results on August 6, 2026 — not yet reported. Excluded.</w:t>
      </w:r>
    </w:p>
    <w:p>
      <w:pPr>
        <w:pStyle w:val="ListBullet"/>
        <w:ind w:left="360" w:hanging="360"/>
      </w:pPr>
      <w:r>
        <w:rPr>
          <w:rFonts w:ascii="Calibri" w:hAnsi="Calibri"/>
          <w:b/>
          <w:color w:val="525866"/>
          <w:sz w:val="22"/>
        </w:rPr>
        <w:t xml:space="preserve">CBRE Group: </w:t>
      </w:r>
      <w:r>
        <w:rPr>
          <w:rFonts w:ascii="Calibri" w:hAnsi="Calibri"/>
          <w:color w:val="525866"/>
          <w:sz w:val="22"/>
        </w:rPr>
        <w:t>No Q2 2026 earnings transcript available in the database as of July 28, 2026. CBRE market research reports (above) are included as directional read-throughs.</w:t>
      </w:r>
    </w:p>
    <w:p>
      <w:r>
        <w:rPr>
          <w:rFonts w:ascii="Calibri" w:hAnsi="Calibri"/>
          <w:b/>
          <w:color w:val="525866"/>
          <w:sz w:val="22"/>
        </w:rPr>
        <w:t xml:space="preserve">Summary Read-Through Assessment: </w:t>
      </w:r>
      <w:r>
        <w:rPr>
          <w:rFonts w:ascii="Calibri" w:hAnsi="Calibri"/>
          <w:color w:val="525866"/>
          <w:sz w:val="22"/>
        </w:rPr>
        <w:t xml:space="preserve">The peer read-through picture for CSGP Q2 2026 is </w:t>
      </w:r>
      <w:r>
        <w:rPr>
          <w:rFonts w:ascii="Calibri" w:hAnsi="Calibri"/>
          <w:b/>
          <w:color w:val="525866"/>
          <w:sz w:val="22"/>
        </w:rPr>
        <w:t>net cautious on residential, net positive on commercial</w:t>
      </w:r>
      <w:r>
        <w:rPr>
          <w:rFonts w:ascii="Calibri" w:hAnsi="Calibri"/>
          <w:color w:val="525866"/>
          <w:sz w:val="22"/>
        </w:rPr>
        <w:t>. The residential housing market remained sluggish in Q2 (flat existing home sales, rate volatility, low new listings), which is a headwind to Homes.com subscriber urgency but not a direct revenue risk given CSGP's subscription model. Commercial CRE fundamentals — particularly industrial leasing and international markets — remained constructive, supporting CoStar Suite and LoopNet demand. The AI cost efficiency narrative is being validated across the proptech sector (Opendoor), reinforcing CSGP's EBITDA beat pattern.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