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9" w:name="ctsh-earnings-predictions--2026-07-29"/>
    <w:p>
      <w:pPr>
        <w:pStyle w:val="Heading1"/>
      </w:pPr>
      <w:r>
        <w:t xml:space="preserve">CTSH Earnings Predictions — 2026-07-29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320"/>
        <w:gridCol w:w="1320"/>
        <w:gridCol w:w="1320"/>
        <w:gridCol w:w="1320"/>
        <w:gridCol w:w="1320"/>
        <w:gridCol w:w="132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Ticker</w:t>
            </w:r>
          </w:p>
        </w:tc>
        <w:tc>
          <w:tcPr/>
          <w:p>
            <w:pPr>
              <w:pStyle w:val="Compact"/>
            </w:pPr>
            <w:r>
              <w:t xml:space="preserve">Report or Guide</w:t>
            </w:r>
          </w:p>
        </w:tc>
        <w:tc>
          <w:tcPr/>
          <w:p>
            <w:pPr>
              <w:pStyle w:val="Compact"/>
            </w:pPr>
            <w:r>
              <w:t xml:space="preserve">KPI</w:t>
            </w:r>
          </w:p>
        </w:tc>
        <w:tc>
          <w:tcPr/>
          <w:p>
            <w:pPr>
              <w:pStyle w:val="Compact"/>
            </w:pPr>
            <w:r>
              <w:t xml:space="preserve">Prediction</w:t>
            </w:r>
          </w:p>
        </w:tc>
        <w:tc>
          <w:tcPr/>
          <w:p>
            <w:pPr>
              <w:pStyle w:val="Compact"/>
            </w:pPr>
            <w:r>
              <w:t xml:space="preserve">Answer</w:t>
            </w:r>
          </w:p>
        </w:tc>
        <w:tc>
          <w:tcPr/>
          <w:p>
            <w:pPr>
              <w:pStyle w:val="Compact"/>
            </w:pPr>
            <w:r>
              <w:t xml:space="preserve">Confidence</w:t>
            </w:r>
          </w:p>
        </w:tc>
      </w:tr>
      <w:tr>
        <w:tc>
          <w:tcPr/>
          <w:p>
            <w:pPr>
              <w:pStyle w:val="Compact"/>
            </w:pPr>
            <w:r>
              <w:t xml:space="preserve">CTSH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Revenue</w:t>
            </w:r>
          </w:p>
        </w:tc>
        <w:tc>
          <w:tcPr/>
          <w:p>
            <w:pPr>
              <w:pStyle w:val="Compact"/>
            </w:pPr>
            <w:r>
              <w:t xml:space="preserve">IN-LINE</w:t>
            </w:r>
          </w:p>
        </w:tc>
        <w:tc>
          <w:tcPr/>
          <w:p>
            <w:pPr>
              <w:pStyle w:val="Compact"/>
            </w:pPr>
            <w:r>
              <w:t xml:space="preserve">pred ~$5.51B vs. cons $5.49B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CTSH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Adjusted EPS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~$1.41 vs. cons $1.38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CTSH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TTM Bookings / Book-to-bill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</w:t>
            </w:r>
            <m:oMath>
              <m:r>
                <m:t>30.0</m:t>
              </m:r>
              <m:r>
                <m:t>B</m:t>
              </m:r>
              <m:r>
                <m:t>T</m:t>
              </m:r>
              <m:r>
                <m:t>T</m:t>
              </m:r>
              <m:r>
                <m:t>M</m:t>
              </m:r>
              <m:r>
                <m:rPr>
                  <m:sty m:val="p"/>
                </m:rPr>
                <m:t>(</m:t>
              </m:r>
              <m:r>
                <m:t> </m:t>
              </m:r>
              <m:r>
                <m:t>1.4</m:t>
              </m:r>
              <m:r>
                <m:t>x</m:t>
              </m:r>
              <m:r>
                <m:t>b</m:t>
              </m:r>
              <m:r>
                <m:t>2</m:t>
              </m:r>
              <m:r>
                <m:t>b</m:t>
              </m:r>
              <m:r>
                <m:rPr>
                  <m:sty m:val="p"/>
                </m:rPr>
                <m:t>)</m:t>
              </m:r>
              <m:r>
                <m:t>v</m:t>
              </m:r>
              <m:r>
                <m:t>s</m:t>
              </m:r>
              <m:r>
                <m:rPr>
                  <m:sty m:val="p"/>
                </m:rPr>
                <m:t>.</m:t>
              </m:r>
              <m:r>
                <m:t>c</m:t>
              </m:r>
              <m:r>
                <m:t>o</m:t>
              </m:r>
              <m:r>
                <m:t>n</m:t>
              </m:r>
              <m:r>
                <m:t>s</m:t>
              </m:r>
              <m:r>
                <m:t> </m:t>
              </m:r>
            </m:oMath>
            <w:r>
              <w:t xml:space="preserve">29.6B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  <w:tr>
        <w:tc>
          <w:tcPr/>
          <w:p>
            <w:pPr>
              <w:pStyle w:val="Compact"/>
            </w:pPr>
            <w:r>
              <w:t xml:space="preserve">CTSH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FY26 CC revenue growth guide</w:t>
            </w:r>
          </w:p>
        </w:tc>
        <w:tc>
          <w:tcPr/>
          <w:p>
            <w:pPr>
              <w:pStyle w:val="Compact"/>
            </w:pPr>
            <w:r>
              <w:t xml:space="preserve">UNCHANGED</w:t>
            </w:r>
          </w:p>
        </w:tc>
        <w:tc>
          <w:tcPr/>
          <w:p>
            <w:pPr>
              <w:pStyle w:val="Compact"/>
            </w:pPr>
            <w:r>
              <w:t xml:space="preserve">guide ~4.0-6.5% CC (mid ~5.25%) vs. cons ~4.7% (FY26)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CTSH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FY26 adjusted EPS guide</w:t>
            </w:r>
          </w:p>
        </w:tc>
        <w:tc>
          <w:tcPr/>
          <w:p>
            <w:pPr>
              <w:pStyle w:val="Compact"/>
            </w:pPr>
            <w:r>
              <w:t xml:space="preserve">UNCHANGED</w:t>
            </w:r>
          </w:p>
        </w:tc>
        <w:tc>
          <w:tcPr/>
          <w:p>
            <w:pPr>
              <w:pStyle w:val="Compact"/>
            </w:pPr>
            <w:r>
              <w:t xml:space="preserve">guide ~</w:t>
            </w:r>
            <m:oMath>
              <m:r>
                <m:t>5.63</m:t>
              </m:r>
              <m:r>
                <m:rPr>
                  <m:sty m:val="p"/>
                </m:rPr>
                <m:t>−</m:t>
              </m:r>
              <m:r>
                <m:t>5.77</m:t>
              </m:r>
              <m:r>
                <m:rPr>
                  <m:sty m:val="p"/>
                </m:rPr>
                <m:t>(</m:t>
              </m:r>
              <m:r>
                <m:t>m</m:t>
              </m:r>
              <m:r>
                <m:t>i</m:t>
              </m:r>
              <m:r>
                <m:t>d</m:t>
              </m:r>
              <m:r>
                <m:t> </m:t>
              </m:r>
            </m:oMath>
            <w:r>
              <w:t xml:space="preserve">5.70) vs. cons ~$5.71 (FY26)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CTSH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FY26 adjusted operating margin guide</w:t>
            </w:r>
          </w:p>
        </w:tc>
        <w:tc>
          <w:tcPr/>
          <w:p>
            <w:pPr>
              <w:pStyle w:val="Compact"/>
            </w:pPr>
            <w:r>
              <w:t xml:space="preserve">UNCHANGED</w:t>
            </w:r>
          </w:p>
        </w:tc>
        <w:tc>
          <w:tcPr/>
          <w:p>
            <w:pPr>
              <w:pStyle w:val="Compact"/>
            </w:pPr>
            <w:r>
              <w:t xml:space="preserve">guide ~16.0-16.2% vs. cons ~16.1% (FY26)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CTSH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Q3 revenue guide (H2 hockey-stick credibility)</w:t>
            </w:r>
          </w:p>
        </w:tc>
        <w:tc>
          <w:tcPr/>
          <w:p>
            <w:pPr>
              <w:pStyle w:val="Compact"/>
            </w:pPr>
            <w:r>
              <w:t xml:space="preserve">LOWER</w:t>
            </w:r>
          </w:p>
        </w:tc>
        <w:tc>
          <w:tcPr/>
          <w:p>
            <w:pPr>
              <w:pStyle w:val="Compact"/>
            </w:pPr>
            <w:r>
              <w:t xml:space="preserve">guide ~</w:t>
            </w:r>
            <m:oMath>
              <m:r>
                <m:t>5.55</m:t>
              </m:r>
              <m:r>
                <m:t>B</m:t>
              </m:r>
              <m:r>
                <m:t>v</m:t>
              </m:r>
              <m:r>
                <m:t>s</m:t>
              </m:r>
              <m:r>
                <m:rPr>
                  <m:sty m:val="p"/>
                </m:rPr>
                <m:t>.</m:t>
              </m:r>
              <m:r>
                <m:t>c</m:t>
              </m:r>
              <m:r>
                <m:t>o</m:t>
              </m:r>
              <m:r>
                <m:t>n</m:t>
              </m:r>
              <m:r>
                <m:t>s</m:t>
              </m:r>
              <m:r>
                <m:t> </m:t>
              </m:r>
            </m:oMath>
            <w:r>
              <w:t xml:space="preserve">5.58B (Q3 2026)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  <w:tr>
        <w:tc>
          <w:tcPr/>
          <w:p>
            <w:pPr>
              <w:pStyle w:val="Compact"/>
            </w:pPr>
            <w:r>
              <w:t xml:space="preserve">CTSH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Day-1 residual (stock − beta × S&amp;P 500)</w:t>
            </w:r>
          </w:p>
        </w:tc>
        <w:tc>
          <w:tcPr/>
          <w:p>
            <w:pPr>
              <w:pStyle w:val="Compact"/>
            </w:pPr>
            <w:r>
              <w:t xml:space="preserve">+2.0%</w:t>
            </w:r>
          </w:p>
        </w:tc>
        <w:tc>
          <w:tcPr/>
          <w:p>
            <w:pPr>
              <w:pStyle w:val="Compact"/>
            </w:pPr>
            <w:r>
              <w:t xml:space="preserve">—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CTSH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5-day cumulative residual</w:t>
            </w:r>
          </w:p>
        </w:tc>
        <w:tc>
          <w:tcPr/>
          <w:p>
            <w:pPr>
              <w:pStyle w:val="Compact"/>
            </w:pPr>
            <w:r>
              <w:t xml:space="preserve">+0.5% (FADE)</w:t>
            </w:r>
          </w:p>
        </w:tc>
        <w:tc>
          <w:tcPr/>
          <w:p>
            <w:pPr>
              <w:pStyle w:val="Compact"/>
            </w:pPr>
            <w:r>
              <w:t xml:space="preserve">A modest EPS beat with in-line revenue and a held FY26 guide drives an initial relief pop, but the stock has already rallied ~30% off the June lows (~$38.73 to $50.33, +7% in the last two sessions), so much of the good news is priced. The FY26 midpoint still embeds a back-end-loaded H2 discretionary recovery; once the Street re-models the implied Q3/Q4 step-up against soft ACV and the AI-pricing overhang, out-period estimates get trimmed and the pop fades toward flat.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</w:tbl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2026-07-29T02:46:22Z</dcterms:created>
  <dcterms:modified xsi:type="dcterms:W3CDTF">2026-07-29T02:46:22Z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