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CTSH thoroughly before writing the preview. Let me start by gathering recent earnings materials, news, and stock data.The stock has been on a dramatic ride — from ~$85 in January to a low near</w:t>
      </w:r>
      <w:r>
        <w:t xml:space="preserve"> </w:t>
      </w:r>
      <m:oMath>
        <m:r>
          <m:t>39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J</m:t>
        </m:r>
        <m:r>
          <m:t>u</m:t>
        </m:r>
        <m:r>
          <m:t>n</m:t>
        </m:r>
        <m:r>
          <m:t>e</m:t>
        </m:r>
        <m:r>
          <m:rPr>
            <m:sty m:val="p"/>
          </m:rPr>
          <m:t>,</m:t>
        </m:r>
        <m:r>
          <m:t>n</m:t>
        </m:r>
        <m:r>
          <m:t>o</m:t>
        </m:r>
        <m:r>
          <m:t>w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t> </m:t>
        </m:r>
      </m:oMath>
      <w:r>
        <w:t xml:space="preserve">50. This mirrors a sector-wide selloff (ACN, INFY too). Let me dig into the most recent earnings materials and guidance.This is rich material. Let me get the year-ago comparison quarter (June 2025, labeled "2025Q2") and understand the dramatic sector selloff with recent news.Let me pull CTSH-specific news over the past two weeks to capture analyst actions and the drivers behind the selloff.I now have what I need. Let me verify a couple of quick calculations before writing.# Cognizant (CTSH) — Q2 2026 Earnings Preview</w:t>
      </w:r>
    </w:p>
    <w:bookmarkStart w:id="9" w:name="X589bb98e52c523453373ff0b16282baf7464ba9"/>
    <w:p>
      <w:pPr>
        <w:pStyle w:val="Heading3"/>
      </w:pPr>
      <w:r>
        <w:t xml:space="preserve">Reports Wednesday, July 29, 2026 (before the open) | Q2 = quarter ended June 30, 2026</w:t>
      </w:r>
    </w:p>
    <w:p>
      <w:r>
        <w:pict>
          <v:rect style="width:0;height:1.5pt" o:hralign="center" o:hrstd="t" o:hr="t"/>
        </w:pict>
      </w:r>
    </w:p>
    <w:bookmarkEnd w:id="9"/>
    <w:bookmarkStart w:id="10" w:name="Xdfbc4db65237943808bac4bd76543c7a4cfeb6d"/>
    <w:p>
      <w:pPr>
        <w:pStyle w:val="Heading2"/>
      </w:pPr>
      <w:r>
        <w:t xml:space="preserve">The setup: a stock that has already been through a war</w:t>
      </w:r>
    </w:p>
    <w:p>
      <w:pPr>
        <w:pStyle w:val="FirstParagraph"/>
      </w:pPr>
      <w:r>
        <w:t xml:space="preserve">The number that frames this print isn't a revenue figure — it's the chart. CTSH entered 2026 around</w:t>
      </w:r>
      <w:r>
        <w:t xml:space="preserve"> </w:t>
      </w:r>
      <m:oMath>
        <m:r>
          <m:t>81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p</m:t>
        </m:r>
        <m:r>
          <m:t>e</m:t>
        </m:r>
        <m:r>
          <m:t>a</m:t>
        </m:r>
        <m:r>
          <m:t>k</m:t>
        </m:r>
        <m:r>
          <m:t>e</m:t>
        </m:r>
        <m:r>
          <m:t>d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87</w:t>
      </w:r>
      <w:r>
        <w:t xml:space="preserve"> </w:t>
      </w:r>
      <w:r>
        <w:t xml:space="preserve">in mid-January, then collapsed to a low of roughly</w:t>
      </w:r>
      <w:r>
        <w:t xml:space="preserve"> </w:t>
      </w:r>
      <m:oMath>
        <m:r>
          <m:t>39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l</m:t>
        </m:r>
        <m:r>
          <m:t>a</m:t>
        </m:r>
        <m:r>
          <m:t>t</m:t>
        </m:r>
        <m:r>
          <m:t>e</m:t>
        </m:r>
        <m:r>
          <m:t>J</m:t>
        </m:r>
        <m:r>
          <m:t>u</m:t>
        </m:r>
        <m:r>
          <m:t>n</m:t>
        </m:r>
        <m:r>
          <m:t>e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55</m:t>
        </m:r>
      </m:oMath>
      <w:r>
        <w:rPr>
          <w:b/>
          <w:bCs/>
        </w:rPr>
        <w:t xml:space="preserve">50.33</w:t>
      </w:r>
      <w:r>
        <w:t xml:space="preserve"> </w:t>
      </w:r>
      <w:r>
        <w:t xml:space="preserve">on July 28. Even after the bounce, the stock sits</w:t>
      </w:r>
      <w:r>
        <w:t xml:space="preserve"> </w:t>
      </w:r>
      <w:r>
        <w:rPr>
          <w:b/>
          <w:bCs/>
        </w:rPr>
        <w:t xml:space="preserve">~38% below where it started the year</w:t>
      </w:r>
      <w:r>
        <w:t xml:space="preserve">.</w:t>
      </w:r>
    </w:p>
    <w:p>
      <w:pPr>
        <w:pStyle w:val="BodyText"/>
      </w:pPr>
      <w:r>
        <w:t xml:space="preserve">Critically, this was</w:t>
      </w:r>
      <w:r>
        <w:t xml:space="preserve"> </w:t>
      </w:r>
      <w:r>
        <w:rPr>
          <w:b/>
          <w:bCs/>
        </w:rPr>
        <w:t xml:space="preserve">not company-specific</w:t>
      </w:r>
      <w:r>
        <w:t xml:space="preserve"> </w:t>
      </w:r>
      <w:r>
        <w:t xml:space="preserve">— it was a sector-wide derating. Accenture (ACN) and Infosys (INFY) traced almost the identical arc (ACN roughly $288 → $124 → $165). The driver was a wholesale repricing of the</w:t>
      </w:r>
      <w:r>
        <w:t xml:space="preserve"> </w:t>
      </w:r>
      <w:r>
        <w:rPr>
          <w:b/>
          <w:bCs/>
        </w:rPr>
        <w:t xml:space="preserve">"AI will cannibalize labor-based IT services"</w:t>
      </w:r>
      <w:r>
        <w:t xml:space="preserve"> </w:t>
      </w:r>
      <w:r>
        <w:t xml:space="preserve">thesis, and the CTSH pre-earnings digest confirms the mood: sentiment is cautious "amid concerns about AI disruption and displacement, alongside recent negative industry data points." The backdrop into the print is a broader tech risk-off — a chip rout dragging the Nasdaq 100 toward correction, with capital rotating toward economically sensitive and "anti-tech" names.</w:t>
      </w:r>
    </w:p>
    <w:p>
      <w:pPr>
        <w:pStyle w:val="BodyText"/>
      </w:pPr>
      <w:r>
        <w:rPr>
          <w:b/>
          <w:bCs/>
        </w:rPr>
        <w:t xml:space="preserve">Net implication:</w:t>
      </w:r>
      <w:r>
        <w:t xml:space="preserve"> </w:t>
      </w:r>
      <w:r>
        <w:t xml:space="preserve">at ~</w:t>
      </w:r>
      <m:oMath>
        <m:r>
          <m:t>50</m:t>
        </m:r>
        <m:r>
          <m:rPr>
            <m:sty m:val="p"/>
          </m:rPr>
          <m:t>,</m:t>
        </m:r>
        <m:r>
          <m:t>C</m:t>
        </m:r>
        <m:r>
          <m:t>T</m:t>
        </m:r>
        <m:r>
          <m:t>S</m:t>
        </m:r>
        <m:r>
          <m:t>H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a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8.8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o</m:t>
        </m:r>
        <m:r>
          <m:t>w</m:t>
        </m:r>
        <m:r>
          <m:t>n</m:t>
        </m:r>
        <m:r>
          <m:t>F</m:t>
        </m:r>
        <m:r>
          <m:t>Y</m:t>
        </m:r>
        <m:r>
          <m:t>26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−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rPr>
            <m:sty m:val="p"/>
          </m:rPr>
          <m:t>(</m:t>
        </m:r>
      </m:oMath>
      <w:r>
        <w:t xml:space="preserve">5.63–$5.77) — a fraction of its historical mid-teens multiple. Expectations are low, positioning is washed out, and the bar to clear is more about</w:t>
      </w:r>
      <w:r>
        <w:t xml:space="preserve"> </w:t>
      </w:r>
      <w:r>
        <w:rPr>
          <w:i/>
          <w:iCs/>
        </w:rPr>
        <w:t xml:space="preserve">narrative</w:t>
      </w:r>
      <w:r>
        <w:t xml:space="preserve"> </w:t>
      </w:r>
      <w:r>
        <w:t xml:space="preserve">(is the AI thesis existential or manageable?) than about a penny of EPS.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street-expects-for-q2"/>
    <w:p>
      <w:pPr>
        <w:pStyle w:val="Heading2"/>
      </w:pPr>
      <w:r>
        <w:t xml:space="preserve">What the Street expects for Q2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Consensus / Guide</w:t>
            </w:r>
          </w:p>
        </w:tc>
        <w:tc>
          <w:tcPr/>
          <w:p>
            <w:pPr>
              <w:pStyle w:val="Compact"/>
            </w:pPr>
            <w:r>
              <w:t xml:space="preserve">Context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~$5.49B</w:t>
            </w:r>
            <w:r>
              <w:t xml:space="preserve">, ~+4.7% YoY</w:t>
            </w:r>
          </w:p>
        </w:tc>
        <w:tc>
          <w:tcPr/>
          <w:p>
            <w:pPr>
              <w:pStyle w:val="Compact"/>
            </w:pPr>
            <w:r>
              <w:t xml:space="preserve">Company guided</w:t>
            </w:r>
            <w:r>
              <w:t xml:space="preserve"> </w:t>
            </w:r>
            <m:oMath>
              <m:r>
                <m:t>5.45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5.52B</w:t>
            </w:r>
            <w:r>
              <w:t xml:space="preserve"> </w:t>
            </w:r>
            <w:r>
              <w:t xml:space="preserve">(+3.8–5.3% reported;</w:t>
            </w:r>
            <w:r>
              <w:t xml:space="preserve"> </w:t>
            </w:r>
            <w:r>
              <w:rPr>
                <w:b/>
                <w:bCs/>
              </w:rPr>
              <w:t xml:space="preserve">+3.2–4.7% CC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~$1.38</w:t>
            </w:r>
          </w:p>
        </w:tc>
        <w:tc>
          <w:tcPr/>
          <w:p>
            <w:pPr>
              <w:pStyle w:val="Compact"/>
            </w:pPr>
            <w:r>
              <w:t xml:space="preserve">vs. $1.31 a year ago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Acquisition contribution</w:t>
            </w:r>
          </w:p>
        </w:tc>
        <w:tc>
          <w:tcPr/>
          <w:p>
            <w:pPr>
              <w:pStyle w:val="Compact"/>
            </w:pPr>
            <w:r>
              <w:t xml:space="preserve">~150 bps to growth</w:t>
            </w:r>
          </w:p>
        </w:tc>
        <w:tc>
          <w:tcPr/>
          <w:p>
            <w:pPr>
              <w:pStyle w:val="Compact"/>
            </w:pPr>
            <w:r>
              <w:t xml:space="preserve">Includes</w:t>
            </w:r>
            <w:r>
              <w:t xml:space="preserve"> </w:t>
            </w:r>
            <w:r>
              <w:rPr>
                <w:b/>
                <w:bCs/>
              </w:rPr>
              <w:t xml:space="preserve">partial-quarter Astreya</w:t>
            </w:r>
            <w:r>
              <w:t xml:space="preserve"> </w:t>
            </w:r>
            <w:r>
              <w:t xml:space="preserve">+ 3Cloud</w:t>
            </w:r>
          </w:p>
        </w:tc>
      </w:tr>
    </w:tbl>
    <w:p>
      <w:pPr>
        <w:pStyle w:val="BodyText"/>
      </w:pPr>
      <w:r>
        <w:t xml:space="preserve">Consensus of $5.49B sits right at the guidance midpoint — so a simple in-line quarter is broadly priced. The comparison base is tough: the year-ago June quarter grew</w:t>
      </w:r>
      <w:r>
        <w:t xml:space="preserve"> </w:t>
      </w:r>
      <w:r>
        <w:rPr>
          <w:b/>
          <w:bCs/>
        </w:rPr>
        <w:t xml:space="preserve">+7.2% CC</w:t>
      </w:r>
      <w:r>
        <w:t xml:space="preserve"> </w:t>
      </w:r>
      <w:r>
        <w:t xml:space="preserve">(with ~400 bps from the Belcan deal), so the headline is a clear</w:t>
      </w:r>
      <w:r>
        <w:t xml:space="preserve"> </w:t>
      </w:r>
      <w:r>
        <w:rPr>
          <w:b/>
          <w:bCs/>
        </w:rPr>
        <w:t xml:space="preserve">organic deceleration</w:t>
      </w:r>
      <w:r>
        <w:t xml:space="preserve">, which is expected.</w:t>
      </w:r>
    </w:p>
    <w:p>
      <w:r>
        <w:pict>
          <v:rect style="width:0;height:1.5pt" o:hralign="center" o:hrstd="t" o:hr="t"/>
        </w:pict>
      </w:r>
    </w:p>
    <w:bookmarkEnd w:id="11"/>
    <w:bookmarkStart w:id="12" w:name="Xed902079cf536d24f3cbc2e1eec8ed8a7b49414"/>
    <w:p>
      <w:pPr>
        <w:pStyle w:val="Heading2"/>
      </w:pPr>
      <w:r>
        <w:t xml:space="preserve">What actually matters — the six things to watch</w:t>
      </w:r>
    </w:p>
    <w:p>
      <w:pPr>
        <w:pStyle w:val="FirstParagraph"/>
      </w:pPr>
      <w:r>
        <w:rPr>
          <w:b/>
          <w:bCs/>
        </w:rPr>
        <w:t xml:space="preserve">1) The full-year guide is the whole ballgame.</w:t>
      </w:r>
      <w:r>
        <w:t xml:space="preserve"> </w:t>
      </w:r>
      <w:r>
        <w:t xml:space="preserve">Management last quarter</w:t>
      </w:r>
      <w:r>
        <w:t xml:space="preserve"> </w:t>
      </w:r>
      <w:r>
        <w:rPr>
          <w:i/>
          <w:iCs/>
        </w:rPr>
        <w:t xml:space="preserve">held</w:t>
      </w:r>
      <w:r>
        <w:t xml:space="preserve"> </w:t>
      </w:r>
      <w:r>
        <w:t xml:space="preserve">FY26 CC revenue guidance at</w:t>
      </w:r>
      <w:r>
        <w:t xml:space="preserve"> </w:t>
      </w:r>
      <w:r>
        <w:rPr>
          <w:b/>
          <w:bCs/>
        </w:rPr>
        <w:t xml:space="preserve">4.0%–6.5%</w:t>
      </w:r>
      <w:r>
        <w:t xml:space="preserve"> </w:t>
      </w:r>
      <w:r>
        <w:t xml:space="preserve">but flagged "a more cautious near-term view of discretionary spending" for Q2, with the</w:t>
      </w:r>
      <w:r>
        <w:t xml:space="preserve"> </w:t>
      </w:r>
      <w:r>
        <w:rPr>
          <w:b/>
          <w:bCs/>
        </w:rPr>
        <w:t xml:space="preserve">midpoint explicitly assuming a discretionary recovery in H2</w:t>
      </w:r>
      <w:r>
        <w:t xml:space="preserve">. That H2 hockey stick rests on two pillars management named: (a) large-deal ramps from strong Q4/Q1 bookings reaching "full potential" in June/July, and (b) two full quarters of Astreya. Given the macro deterioration since April and the sector's negative data points, the key question is whether they</w:t>
      </w:r>
      <w:r>
        <w:t xml:space="preserve"> </w:t>
      </w:r>
      <w:r>
        <w:rPr>
          <w:b/>
          <w:bCs/>
        </w:rPr>
        <w:t xml:space="preserve">maintain, narrow, or trim</w:t>
      </w:r>
      <w:r>
        <w:t xml:space="preserve"> </w:t>
      </w:r>
      <w:r>
        <w:t xml:space="preserve">the 4–6.5% CC range. A hold (especially if bookings stay strong) would be a relief; any cut confirms the bears. Note the math is back-end loaded — after Q1 (</w:t>
      </w:r>
      <m:oMath>
        <m:r>
          <m:t>5.41</m:t>
        </m:r>
        <m:r>
          <m:t>B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Q</m:t>
        </m:r>
        <m:r>
          <m:t>2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t xml:space="preserve">5.49B), the implied H2 run-rate steps up meaningfully.</w:t>
      </w:r>
    </w:p>
    <w:p>
      <w:pPr>
        <w:pStyle w:val="BodyText"/>
      </w:pPr>
      <w:r>
        <w:rPr>
          <w:b/>
          <w:bCs/>
        </w:rPr>
        <w:t xml:space="preserve">2) Bookings &amp; book-to-bill — the bull case's backbone.</w:t>
      </w:r>
      <w:r>
        <w:t xml:space="preserve"> </w:t>
      </w:r>
      <w:r>
        <w:t xml:space="preserve">This has been the standout. Q1 bookings grew</w:t>
      </w:r>
      <w:r>
        <w:t xml:space="preserve"> </w:t>
      </w:r>
      <w:r>
        <w:rPr>
          <w:b/>
          <w:bCs/>
        </w:rPr>
        <w:t xml:space="preserve">+21% YoY</w:t>
      </w:r>
      <w:r>
        <w:t xml:space="preserve"> </w:t>
      </w:r>
      <w:r>
        <w:t xml:space="preserve">(7 large deals, 1 mega deal &gt;$500M; +70% large-deal TCV), on top of</w:t>
      </w:r>
      <w:r>
        <w:t xml:space="preserve"> </w:t>
      </w:r>
      <w:r>
        <w:rPr>
          <w:b/>
          <w:bCs/>
        </w:rPr>
        <w:t xml:space="preserve">+18%</w:t>
      </w:r>
      <w:r>
        <w:t xml:space="preserve"> </w:t>
      </w:r>
      <w:r>
        <w:t xml:space="preserve">the prior June quarter (which had two</w:t>
      </w:r>
      <w:r>
        <w:t xml:space="preserve"> </w:t>
      </w:r>
      <m:oMath>
        <m:r>
          <m:t>1</m:t>
        </m:r>
        <m:r>
          <m:t>B</m:t>
        </m:r>
        <m:r>
          <m:rPr>
            <m:sty m:val="p"/>
          </m:rPr>
          <m:t>+</m:t>
        </m:r>
        <m:r>
          <m:t>m</m:t>
        </m:r>
        <m:r>
          <m:t>e</m:t>
        </m:r>
        <m:r>
          <m:t>g</m:t>
        </m:r>
        <m:r>
          <m:t>a</m:t>
        </m:r>
        <m:r>
          <m:t>d</m:t>
        </m:r>
        <m:r>
          <m:t>e</m:t>
        </m:r>
        <m:r>
          <m:t>a</m:t>
        </m:r>
        <m:r>
          <m:t>l</m:t>
        </m:r>
        <m:r>
          <m:t>s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T</m:t>
        </m:r>
        <m:r>
          <m:t>M</m:t>
        </m:r>
        <m:r>
          <m:t>b</m:t>
        </m:r>
        <m:r>
          <m:t>o</m:t>
        </m:r>
        <m:r>
          <m:t>o</m:t>
        </m:r>
        <m:r>
          <m:t>k</m:t>
        </m:r>
        <m:r>
          <m:t>i</m:t>
        </m:r>
        <m:r>
          <m:t>n</m:t>
        </m:r>
        <m:r>
          <m:t>g</m:t>
        </m:r>
        <m:r>
          <m:t>s</m:t>
        </m:r>
        <m:r>
          <m:t>h</m:t>
        </m:r>
        <m:r>
          <m:t>i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29.6B, +11%**, a ~1.4x book-to-bill. Watch two nuances: (i) whether large-deal momentum persists into a third quarter, and (ii) the</w:t>
      </w:r>
      <w:r>
        <w:t xml:space="preserve"> </w:t>
      </w:r>
      <w:r>
        <w:rPr>
          <w:b/>
          <w:bCs/>
        </w:rPr>
        <w:t xml:space="preserve">ACV vs. TCV divergence</w:t>
      </w:r>
      <w:r>
        <w:t xml:space="preserve"> </w:t>
      </w:r>
      <w:r>
        <w:t xml:space="preserve">— management noted ACV was</w:t>
      </w:r>
      <w:r>
        <w:t xml:space="preserve"> </w:t>
      </w:r>
      <w:r>
        <w:rPr>
          <w:i/>
          <w:iCs/>
        </w:rPr>
        <w:t xml:space="preserve">flat</w:t>
      </w:r>
      <w:r>
        <w:t xml:space="preserve"> </w:t>
      </w:r>
      <w:r>
        <w:t xml:space="preserve">last quarter as deal durations lengthened and small discretionary work stayed soft. Strong TCV masking weak short-cycle demand is exactly the pattern skeptics worry about.</w:t>
      </w:r>
    </w:p>
    <w:p>
      <w:pPr>
        <w:pStyle w:val="BodyText"/>
      </w:pPr>
      <w:r>
        <w:rPr>
          <w:b/>
          <w:bCs/>
        </w:rPr>
        <w:t xml:space="preserve">3) Segment dispersion.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Financial Services</w:t>
      </w:r>
      <w:r>
        <w:t xml:space="preserve"> </w:t>
      </w:r>
      <w:r>
        <w:t xml:space="preserve">(~30% of revenue) is the engine —</w:t>
      </w:r>
      <w:r>
        <w:t xml:space="preserve"> </w:t>
      </w:r>
      <w:r>
        <w:rPr>
          <w:b/>
          <w:bCs/>
        </w:rPr>
        <w:t xml:space="preserve">+10%+ CC</w:t>
      </w:r>
      <w:r>
        <w:t xml:space="preserve"> </w:t>
      </w:r>
      <w:r>
        <w:t xml:space="preserve">last quarter across banking and insurance; investors will want confirmation this holds.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Health Sciences</w:t>
      </w:r>
      <w:r>
        <w:t xml:space="preserve"> </w:t>
      </w:r>
      <w:r>
        <w:t xml:space="preserve">(~29%) has been the drag — roughly flat, hurt ~300 bps by lower third-party product pass-through and regulatory/policy uncertainty. Watch the TriZetto/Palantir angle.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Products &amp; Resources</w:t>
      </w:r>
      <w:r>
        <w:t xml:space="preserve"> </w:t>
      </w:r>
      <w:r>
        <w:t xml:space="preserve">(~24%) — stable but exposed to tariff/trade/supply-chain uncertainty.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CMT</w:t>
      </w:r>
      <w:r>
        <w:t xml:space="preserve"> </w:t>
      </w:r>
      <w:r>
        <w:t xml:space="preserve">(~16%) — growth has been flattered by low-margin third-party product pass-through (~10 pts in Q1) and pressured by client-specific dynamics at a large comms/media account. Watch the</w:t>
      </w:r>
      <w:r>
        <w:t xml:space="preserve"> </w:t>
      </w:r>
      <w:r>
        <w:rPr>
          <w:b/>
          <w:bCs/>
        </w:rPr>
        <w:t xml:space="preserve">quality of growth</w:t>
      </w:r>
      <w:r>
        <w:t xml:space="preserve">: pass-through revenue inflates the top line but dilutes gross margin.</w:t>
      </w:r>
    </w:p>
    <w:p>
      <w:pPr>
        <w:pStyle w:val="FirstParagraph"/>
      </w:pPr>
      <w:r>
        <w:rPr>
          <w:b/>
          <w:bCs/>
        </w:rPr>
        <w:t xml:space="preserve">4) Margins and Project Leap execution.</w:t>
      </w:r>
      <w:r>
        <w:t xml:space="preserve"> </w:t>
      </w:r>
      <w:r>
        <w:t xml:space="preserve">Management</w:t>
      </w:r>
      <w:r>
        <w:t xml:space="preserve"> </w:t>
      </w:r>
      <w:r>
        <w:rPr>
          <w:b/>
          <w:bCs/>
        </w:rPr>
        <w:t xml:space="preserve">raised</w:t>
      </w:r>
      <w:r>
        <w:t xml:space="preserve"> </w:t>
      </w:r>
      <w:r>
        <w:t xml:space="preserve">FY26 adjusted operating margin guidance to</w:t>
      </w:r>
      <w:r>
        <w:t xml:space="preserve"> </w:t>
      </w:r>
      <w:r>
        <w:rPr>
          <w:b/>
          <w:bCs/>
        </w:rPr>
        <w:t xml:space="preserve">16.0%–16.2%</w:t>
      </w:r>
      <w:r>
        <w:t xml:space="preserve"> </w:t>
      </w:r>
      <w:r>
        <w:t xml:space="preserve">(20–40 bps expansion) on the back of</w:t>
      </w:r>
      <w:r>
        <w:t xml:space="preserve"> </w:t>
      </w:r>
      <w:r>
        <w:rPr>
          <w:b/>
          <w:bCs/>
        </w:rPr>
        <w:t xml:space="preserve">Project Leap</w:t>
      </w:r>
      <w:r>
        <w:t xml:space="preserve">, a restructuring targeting **</w:t>
      </w:r>
      <m:oMath>
        <m:r>
          <m:t>200</m:t>
        </m:r>
        <m:r>
          <m:rPr>
            <m:sty m:val="p"/>
          </m:rPr>
          <m:t>–</m:t>
        </m:r>
        <m:r>
          <m:t>300</m:t>
        </m:r>
        <m:r>
          <m:t>M</m:t>
        </m:r>
        <m:r>
          <m:t>o</m:t>
        </m:r>
        <m:r>
          <m:t>f</m:t>
        </m:r>
        <m:r>
          <m:t>i</m:t>
        </m:r>
        <m:r>
          <m:t>n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  <m:r>
          <m:t>2</m:t>
        </m:r>
        <m:r>
          <m:rPr>
            <m:sty m:val="p"/>
          </m:rPr>
          <m:t>/</m:t>
        </m:r>
        <m:r>
          <m:t>3</m:t>
        </m:r>
        <m:r>
          <m:t>r</m:t>
        </m:r>
        <m:r>
          <m:t>e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A</m:t>
        </m:r>
        <m:r>
          <m:t>I</m:t>
        </m:r>
        <m:r>
          <m:rPr>
            <m:sty m:val="p"/>
          </m:rPr>
          <m:t>/</m:t>
        </m:r>
        <m:r>
          <m:t>o</m:t>
        </m:r>
        <m:r>
          <m:t>f</m:t>
        </m:r>
        <m:r>
          <m:t>f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,</m:t>
        </m:r>
        <m:r>
          <m:t> </m:t>
        </m:r>
        <m:r>
          <m:t>1</m:t>
        </m:r>
        <m:r>
          <m:rPr>
            <m:sty m:val="p"/>
          </m:rPr>
          <m:t>/</m:t>
        </m:r>
        <m:r>
          <m:t>3</m:t>
        </m:r>
        <m:r>
          <m:t>i</m:t>
        </m:r>
        <m:r>
          <m:t>n</m:t>
        </m:r>
        <m:r>
          <m:t>r</m:t>
        </m:r>
        <m:r>
          <m:t>e</m:t>
        </m:r>
        <m:r>
          <m:t>s</m:t>
        </m:r>
        <m:r>
          <m:t>k</m:t>
        </m:r>
        <m:r>
          <m:t>i</m:t>
        </m:r>
        <m:r>
          <m:t>l</m:t>
        </m:r>
        <m:r>
          <m:t>l</m:t>
        </m:r>
        <m:r>
          <m:t>i</m:t>
        </m:r>
        <m:r>
          <m:t>n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i</m:t>
        </m:r>
        <m:r>
          <m:t>s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c</m:t>
        </m:r>
        <m:r>
          <m:t>a</m:t>
        </m:r>
        <m:r>
          <m:t>r</m:t>
        </m:r>
        <m:r>
          <m:t>r</m:t>
        </m:r>
        <m:r>
          <m:t>y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m</m:t>
        </m:r>
        <m:r>
          <m:t>e</m:t>
        </m:r>
        <m:r>
          <m:t>a</m:t>
        </m:r>
        <m:r>
          <m:t>n</m:t>
        </m:r>
        <m:r>
          <m:t>i</m:t>
        </m:r>
        <m:r>
          <m:t>n</m:t>
        </m:r>
        <m:r>
          <m:t>g</m:t>
        </m:r>
        <m:r>
          <m:t>f</m:t>
        </m:r>
        <m:r>
          <m:t>u</m:t>
        </m:r>
        <m:r>
          <m:t>l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s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/</m:t>
        </m:r>
        <m:r>
          <m:t>r</m:t>
        </m:r>
        <m:r>
          <m:t>e</m:t>
        </m:r>
        <m:r>
          <m:t>s</m:t>
        </m:r>
        <m:r>
          <m:t>t</m:t>
        </m:r>
        <m:r>
          <m:t>r</m:t>
        </m:r>
        <m:r>
          <m:t>u</m:t>
        </m:r>
        <m:r>
          <m:t>c</m:t>
        </m:r>
        <m:r>
          <m:t>t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c</m:t>
        </m:r>
        <m:r>
          <m:t>h</m:t>
        </m:r>
        <m:r>
          <m:t>a</m:t>
        </m:r>
        <m:r>
          <m:t>r</m:t>
        </m:r>
        <m:r>
          <m:t>g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230–320M total program cost, mostly in 2026, excluded from adjusted numbers). Watch (a) whether the raised margin guide holds, and (b) gross-margin trajectory — Q1 gross margin fell ~80 bps on bench investment, integrated-offering (pass-through) mix, and the November wage hike. Leap is explicitly meant to fix cost-of-delivery.</w:t>
      </w:r>
    </w:p>
    <w:p>
      <w:pPr>
        <w:pStyle w:val="BodyText"/>
      </w:pPr>
      <w:r>
        <w:rPr>
          <w:b/>
          <w:bCs/>
        </w:rPr>
        <w:t xml:space="preserve">5) The AI question — the reason the stock is where it is.</w:t>
      </w:r>
      <w:r>
        <w:t xml:space="preserve"> </w:t>
      </w:r>
      <w:r>
        <w:t xml:space="preserve">Everything above is secondary to whether management can convince investors that AI is a</w:t>
      </w:r>
      <w:r>
        <w:t xml:space="preserve"> </w:t>
      </w:r>
      <w:r>
        <w:rPr>
          <w:b/>
          <w:bCs/>
        </w:rPr>
        <w:t xml:space="preserve">tailwind, not a wrecking ball</w:t>
      </w:r>
      <w:r>
        <w:t xml:space="preserve">. The bear view: AI-assisted coding (management says</w:t>
      </w:r>
      <w:r>
        <w:t xml:space="preserve"> </w:t>
      </w:r>
      <w:r>
        <w:rPr>
          <w:b/>
          <w:bCs/>
        </w:rPr>
        <w:t xml:space="preserve">~40% of code is now AI-assisted</w:t>
      </w:r>
      <w:r>
        <w:t xml:space="preserve">) deflates billable hours and compresses pricing. Management's counter-narrative to listen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"AI Velocity Gap"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"AI builder"</w:t>
      </w:r>
      <w:r>
        <w:t xml:space="preserve"> </w:t>
      </w:r>
      <w:r>
        <w:t xml:space="preserve">positioning — capturing the gap between AI spend and realized value.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Token metering and "AI-infused rate cards"</w:t>
      </w:r>
      <w:r>
        <w:t xml:space="preserve"> </w:t>
      </w:r>
      <w:r>
        <w:t xml:space="preserve">(the A0–A3 human-to-autonomous continuum) — the claim that Cognizant can</w:t>
      </w:r>
      <w:r>
        <w:t xml:space="preserve"> </w:t>
      </w:r>
      <w:r>
        <w:rPr>
          <w:i/>
          <w:iCs/>
        </w:rPr>
        <w:t xml:space="preserve">keep</w:t>
      </w:r>
      <w:r>
        <w:t xml:space="preserve"> </w:t>
      </w:r>
      <w:r>
        <w:t xml:space="preserve">productivity gains rather than passing them all to clients ("bid-to-did" healthy).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three "vectors"</w:t>
      </w:r>
      <w:r>
        <w:t xml:space="preserve"> </w:t>
      </w:r>
      <w:r>
        <w:t xml:space="preserve">(AI-led productivity → industrializing AI → agentifying the enterprise) and &gt;5,000 AI engagements.</w:t>
      </w:r>
    </w:p>
    <w:p>
      <w:pPr>
        <w:pStyle w:val="Compact"/>
        <w:numPr>
          <w:ilvl w:val="0"/>
          <w:numId w:val="1002"/>
        </w:numPr>
      </w:pPr>
      <w:r>
        <w:t xml:space="preserve">Evidence that AI unlocks</w:t>
      </w:r>
      <w:r>
        <w:t xml:space="preserve"> </w:t>
      </w:r>
      <w:r>
        <w:rPr>
          <w:b/>
          <w:bCs/>
        </w:rPr>
        <w:t xml:space="preserve">net-new work</w:t>
      </w:r>
      <w:r>
        <w:t xml:space="preserve"> </w:t>
      </w:r>
      <w:r>
        <w:t xml:space="preserve">(mainframe/legacy modernization becoming economical, e.g., "$10 → $1.50 per line of mainframe code") and</w:t>
      </w:r>
      <w:r>
        <w:t xml:space="preserve"> </w:t>
      </w:r>
      <w:r>
        <w:rPr>
          <w:b/>
          <w:bCs/>
        </w:rPr>
        <w:t xml:space="preserve">vendor-consolidation wins</w:t>
      </w:r>
      <w:r>
        <w:t xml:space="preserve">, offsetting deflation.</w:t>
      </w:r>
    </w:p>
    <w:p>
      <w:pPr>
        <w:pStyle w:val="FirstParagraph"/>
      </w:pPr>
      <w:r>
        <w:t xml:space="preserve">Any hard data point — revenue-per-employee, pricing trends, deal economics — that substantiates "productivity we keep" vs. "productivity we give away" will move the stock more than the EPS beat/miss.</w:t>
      </w:r>
    </w:p>
    <w:p>
      <w:pPr>
        <w:pStyle w:val="BodyText"/>
      </w:pPr>
      <w:r>
        <w:rPr>
          <w:b/>
          <w:bCs/>
        </w:rPr>
        <w:t xml:space="preserve">6) M&amp;A, capital return, and housekeeping.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Astreya</w:t>
      </w:r>
      <w:r>
        <w:t xml:space="preserve"> </w:t>
      </w:r>
      <w:r>
        <w:t xml:space="preserve">(IT managed services / AI infra build-out): watch close timing and contribution — it's a key H2 revenue lever.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Capital return</w:t>
      </w:r>
      <w:r>
        <w:t xml:space="preserve">: FY26 plan of **~</w:t>
      </w:r>
      <m:oMath>
        <m:r>
          <m:t>1.6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</m:oMath>
      <w:r>
        <w:t xml:space="preserve">1B buyback + dividend), ~</w:t>
      </w:r>
      <m:oMath>
        <m:r>
          <m:t>1.5</m:t>
        </m:r>
        <m:r>
          <m:t>B</m:t>
        </m:r>
        <m:r>
          <m:t>r</m:t>
        </m:r>
        <m:r>
          <m:t>e</m:t>
        </m:r>
        <m:r>
          <m:t>m</m:t>
        </m:r>
        <m:r>
          <m:t>a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o</m:t>
        </m:r>
        <m:r>
          <m:t>n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n</m:t>
        </m:r>
        <m:r>
          <m:t>e</m:t>
        </m:r>
        <m:r>
          <m:t>t</m:t>
        </m:r>
        <m:r>
          <m:t>c</m:t>
        </m:r>
        <m:r>
          <m:t>a</m:t>
        </m:r>
        <m:r>
          <m:t>s</m:t>
        </m:r>
        <m:r>
          <m:t>h</m:t>
        </m:r>
        <m:r>
          <m:t> </m:t>
        </m:r>
      </m:oMath>
      <w:r>
        <w:t xml:space="preserve">0.9B. At a single-digit multiple, buyback commentary matters.</w:t>
      </w:r>
    </w:p>
    <w:p>
      <w:pPr>
        <w:pStyle w:val="Compact"/>
        <w:numPr>
          <w:ilvl w:val="0"/>
          <w:numId w:val="1003"/>
        </w:numPr>
      </w:pPr>
      <w:r>
        <w:t xml:space="preserve">The ongoing evaluation of a</w:t>
      </w:r>
      <w:r>
        <w:t xml:space="preserve"> </w:t>
      </w:r>
      <w:r>
        <w:rPr>
          <w:b/>
          <w:bCs/>
        </w:rPr>
        <w:t xml:space="preserve">potential India primary offering / secondary listing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Headcount (357,600, growing; hiring</w:t>
      </w:r>
      <w:r>
        <w:t xml:space="preserve"> </w:t>
      </w:r>
      <w:r>
        <w:rPr>
          <w:i/>
          <w:iCs/>
        </w:rPr>
        <w:t xml:space="preserve">more</w:t>
      </w:r>
      <w:r>
        <w:t xml:space="preserve"> </w:t>
      </w:r>
      <w:r>
        <w:t xml:space="preserve">freshers in 2026) and attrition (~12.3%) as signals of demand confidence.</w:t>
      </w:r>
    </w:p>
    <w:p>
      <w:r>
        <w:pict>
          <v:rect style="width:0;height:1.5pt" o:hralign="center" o:hrstd="t" o:hr="t"/>
        </w:pict>
      </w:r>
    </w:p>
    <w:bookmarkEnd w:id="12"/>
    <w:bookmarkStart w:id="13" w:name="bull-vs-bear-into-the-print"/>
    <w:p>
      <w:pPr>
        <w:pStyle w:val="Heading2"/>
      </w:pPr>
      <w:r>
        <w:t xml:space="preserve">Bull vs. bear into the print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Beat/meet on revenue,</w:t>
      </w:r>
      <w:r>
        <w:t xml:space="preserve"> </w:t>
      </w:r>
      <w:r>
        <w:rPr>
          <w:b/>
          <w:bCs/>
        </w:rPr>
        <w:t xml:space="preserve">FY guide held</w:t>
      </w:r>
      <w:r>
        <w:t xml:space="preserve">, bookings momentum extends, FS stays double-digit, margin raise reaffirmed, and management lands the "AI is accretive / we keep the productivity" message. Against an 8–9x multiple and washed-out sentiment, that combination can drive a sharp relief rally — the ~30% bounce off the lows suggests some investors are already positioning for it.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Organic growth decelerates further, the</w:t>
      </w:r>
      <w:r>
        <w:t xml:space="preserve"> </w:t>
      </w:r>
      <w:r>
        <w:rPr>
          <w:b/>
          <w:bCs/>
        </w:rPr>
        <w:t xml:space="preserve">H2 discretionary recovery is walked back / FY guide trimmed</w:t>
      </w:r>
      <w:r>
        <w:t xml:space="preserve">, ACV stays soft even as TCV looks fine, gross margin disappoints, and — most damaging — any admission of AI-driven pricing deflation. That validates the structural de-rating and the stock retests the lows.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CTSH goes into this print as a</w:t>
      </w:r>
      <w:r>
        <w:t xml:space="preserve"> </w:t>
      </w:r>
      <w:r>
        <w:rPr>
          <w:b/>
          <w:bCs/>
        </w:rPr>
        <w:t xml:space="preserve">de-rated, low-expectations, high-narrative-beta</w:t>
      </w:r>
      <w:r>
        <w:t xml:space="preserve"> </w:t>
      </w:r>
      <w:r>
        <w:t xml:space="preserve">name. The financials will likely land close to a guided in-line quarter (~</w:t>
      </w:r>
      <m:oMath>
        <m:r>
          <m:t>5.49</m:t>
        </m:r>
        <m:r>
          <m:t>B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,</m:t>
        </m:r>
        <m:r>
          <m:t> </m:t>
        </m:r>
      </m:oMath>
      <w:r>
        <w:t xml:space="preserve">1.38 EPS); the stock's reaction hinges on two things the model can't fully capture:</w:t>
      </w:r>
      <w:r>
        <w:t xml:space="preserve"> </w:t>
      </w:r>
      <w:r>
        <w:rPr>
          <w:b/>
          <w:bCs/>
        </w:rPr>
        <w:t xml:space="preserve">(1) the credibility of the second-half re-acceleration embedded in full-year guidance</w:t>
      </w:r>
      <w:r>
        <w:t xml:space="preserve">, and</w:t>
      </w:r>
      <w:r>
        <w:t xml:space="preserve"> </w:t>
      </w:r>
      <w:r>
        <w:rPr>
          <w:b/>
          <w:bCs/>
        </w:rPr>
        <w:t xml:space="preserve">(2) whether management can reframe AI from an existential threat into a growth-and-margin story</w:t>
      </w:r>
      <w:r>
        <w:t xml:space="preserve">. Bookings strength and the Project Leap margin lever are the bulls' ammunition; the flat ACV, soft discretionary spend, and pass-through-flattered growth are the bears'. Watch the guidance revision and the AI/pricing commentary first — the EPS number second.</w:t>
      </w:r>
    </w:p>
    <w:p>
      <w:pPr>
        <w:pStyle w:val="BodyText"/>
      </w:pPr>
      <w:r>
        <w:rPr>
          <w:i/>
          <w:iCs/>
        </w:rPr>
        <w:t xml:space="preserve">Note on fiscal labeling: this "Q2 2026" report covers the quarter ended June 30, 2026; the year-ago comparison is the June 2025 quarter (revenue $5.25B, +7.2% CC, adjusted EPS $1.31).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2026-07-29T02:46:22Z</dcterms:created>
  <dcterms:modified xsi:type="dcterms:W3CDTF">2026-07-29T02:46:22Z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