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tsh-earnings-predictions--2026-07-29"/>
    <w:p>
      <w:pPr>
        <w:pStyle w:val="Heading1"/>
      </w:pPr>
      <w:r>
        <w:t xml:space="preserve">CTSH Earnings Predictions — 2026-07-29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~$5.45B vs. cons $5.485B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Adjusted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~$1.37 vs. cons $1.375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TTM Bookings Growth YoY / Book-to-Bill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~10% YoY (book-to-bill ~1.15x) vs. cons/prior-trend ~20% YoY (1.4x in Q1)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 Growth Guidance (CC)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~3.0%-5.0% CC vs. cons ~5.2% CC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5.50</m:t>
              </m:r>
              <m:r>
                <m:rPr>
                  <m:sty m:val="p"/>
                </m:rPr>
                <m:t>−</m:t>
              </m:r>
            </m:oMath>
            <w:r>
              <w:t xml:space="preserve">5.65 vs. cons $5.70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Adjusted Operating Margin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~16.0%-16.2% vs. cons 16.1%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5.45</m:t>
              </m:r>
              <m:r>
                <m:rPr>
                  <m:sty m:val="p"/>
                </m:rPr>
                <m:t>−</m:t>
              </m:r>
            </m:oMath>
            <w:r>
              <w:t xml:space="preserve">5.55B vs. cons $5.60B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-2.5%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CTSH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-4.5% (FADE)</w:t>
            </w:r>
          </w:p>
        </w:tc>
        <w:tc>
          <w:tcPr/>
          <w:p>
            <w:pPr>
              <w:pStyle w:val="Compact"/>
            </w:pPr>
            <w:r>
              <w:t xml:space="preserve">Stock rallied ~17% into the print on the Anthropic partnership headline alone, running well ahead of fundamentals; if FY26 CC revenue/EPS guidance is trimmed as widely expected (consistent with Accenture/Infosys read-throughs) and bookings growth decelerates from Q1's 21%, sell-side will cut FY26/FY27 EPS estimates in the days following the call even if the headline print is only in-line. That out-period estimate-cutting math, combined with profit-taking after the sharp pre-earnings run-up, favors giving back most of the initial pop over the following days rather than sustained follow-through.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2026-07-29T00:36:03Z</dcterms:created>
  <dcterms:modified xsi:type="dcterms:W3CDTF">2026-07-29T00:36:03Z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