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cognizant-ctsh-2026-q2-earnings-preview"/>
    <w:p>
      <w:pPr>
        <w:pStyle w:val="Heading1"/>
      </w:pPr>
      <w:r>
        <w:t xml:space="preserve">Cognizant (CTSH) 2026 Q2 Earnings Preview</w:t>
      </w:r>
    </w:p>
    <w:p>
      <w:pPr>
        <w:pStyle w:val="BlockText"/>
      </w:pPr>
      <w:r>
        <w:rPr>
          <w:b/>
          <w:bCs/>
        </w:rPr>
        <w:t xml:space="preserve">Timing clarification:</w:t>
      </w:r>
      <w:r>
        <w:t xml:space="preserve"> </w:t>
      </w:r>
      <w:r>
        <w:t xml:space="preserve">Cognizant is scheduled to release Q2 results</w:t>
      </w:r>
      <w:r>
        <w:t xml:space="preserve"> </w:t>
      </w:r>
      <w:r>
        <w:rPr>
          <w:b/>
          <w:bCs/>
        </w:rPr>
        <w:t xml:space="preserve">today, Wednesday, July 29, 2026, before the U.S. market opens</w:t>
      </w:r>
      <w:r>
        <w:t xml:space="preserve">, rather than tomorrow. The conference call is scheduled for</w:t>
      </w:r>
      <w:r>
        <w:t xml:space="preserve"> </w:t>
      </w:r>
      <w:r>
        <w:rPr>
          <w:b/>
          <w:bCs/>
        </w:rPr>
        <w:t xml:space="preserve">8:30 a.m. ET</w:t>
      </w:r>
      <w:r>
        <w:t xml:space="preserve">. (</w:t>
      </w:r>
      <w:hyperlink r:id="rId9">
        <w:r>
          <w:rPr>
            <w:rStyle w:val="Hyperlink"/>
          </w:rPr>
          <w:t xml:space="preserve">investors.cognizant.com</w:t>
        </w:r>
      </w:hyperlink>
      <w:r>
        <w:t xml:space="preserve">)</w:t>
      </w:r>
    </w:p>
    <w:bookmarkStart w:id="10" w:name="investment-setup"/>
    <w:p>
      <w:pPr>
        <w:pStyle w:val="Heading2"/>
      </w:pPr>
      <w:r>
        <w:t xml:space="preserve">Investment setup</w:t>
      </w:r>
    </w:p>
    <w:p>
      <w:pPr>
        <w:pStyle w:val="FirstParagraph"/>
      </w:pPr>
      <w:r>
        <w:t xml:space="preserve">This is less a quarter about whether Cognizant can beat a relatively achievable revenue target and more a test of whether management can defend its full-year outlook amid deteriorating sentiment toward IT services.</w:t>
      </w:r>
    </w:p>
    <w:p>
      <w:pPr>
        <w:pStyle w:val="BodyText"/>
      </w:pPr>
      <w:r>
        <w:t xml:space="preserve">The stock closed July 28 at approximately</w:t>
      </w:r>
      <w:r>
        <w:t xml:space="preserve"> </w:t>
      </w:r>
      <w:r>
        <w:rPr>
          <w:b/>
          <w:bCs/>
        </w:rPr>
        <w:t xml:space="preserve">$50.33</w:t>
      </w:r>
      <w:r>
        <w:t xml:space="preserve">, down about</w:t>
      </w:r>
      <w:r>
        <w:t xml:space="preserve"> </w:t>
      </w:r>
      <w:r>
        <w:rPr>
          <w:b/>
          <w:bCs/>
        </w:rPr>
        <w:t xml:space="preserve">38% from the start of 2026</w:t>
      </w:r>
      <w:r>
        <w:t xml:space="preserve">, despite rebounding roughly 30% from its late-June low. Much of the sector has sold off on concerns that:</w:t>
      </w:r>
    </w:p>
    <w:p>
      <w:pPr>
        <w:pStyle w:val="Compact"/>
        <w:numPr>
          <w:ilvl w:val="0"/>
          <w:numId w:val="1001"/>
        </w:numPr>
      </w:pPr>
      <w:r>
        <w:t xml:space="preserve">AI coding tools will reduce the amount of labor clients need to purchase.</w:t>
      </w:r>
    </w:p>
    <w:p>
      <w:pPr>
        <w:pStyle w:val="Compact"/>
        <w:numPr>
          <w:ilvl w:val="0"/>
          <w:numId w:val="1001"/>
        </w:numPr>
      </w:pPr>
      <w:r>
        <w:t xml:space="preserve">Productivity savings will be passed through to customers rather than retained by vendors.</w:t>
      </w:r>
    </w:p>
    <w:p>
      <w:pPr>
        <w:pStyle w:val="Compact"/>
        <w:numPr>
          <w:ilvl w:val="0"/>
          <w:numId w:val="1001"/>
        </w:numPr>
      </w:pPr>
      <w:r>
        <w:t xml:space="preserve">Discretionary technology projects remain weak.</w:t>
      </w:r>
    </w:p>
    <w:p>
      <w:pPr>
        <w:pStyle w:val="Compact"/>
        <w:numPr>
          <w:ilvl w:val="0"/>
          <w:numId w:val="1001"/>
        </w:numPr>
      </w:pPr>
      <w:r>
        <w:t xml:space="preserve">Large, cost-focused outsourcing deals may carry lower margins and take time to convert into revenue.</w:t>
      </w:r>
    </w:p>
    <w:p>
      <w:pPr>
        <w:pStyle w:val="FirstParagraph"/>
      </w:pPr>
      <w:r>
        <w:t xml:space="preserve">Cognizant enters the report with better bookings momentum than many peers, but investors will want evidence that these bookings can translate into organic growth and earnings—not merely long-duration contract value.</w:t>
      </w:r>
    </w:p>
    <w:bookmarkEnd w:id="10"/>
    <w:bookmarkStart w:id="11" w:name="expectations-and-guidance"/>
    <w:p>
      <w:pPr>
        <w:pStyle w:val="Heading2"/>
      </w:pPr>
      <w:r>
        <w:t xml:space="preserve">Expectations and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expectation / guidance</w:t>
            </w:r>
          </w:p>
        </w:tc>
        <w:tc>
          <w:tcPr/>
          <w:p>
            <w:pPr>
              <w:pStyle w:val="Compact"/>
              <w:jc w:val="right"/>
            </w:pPr>
            <w:r>
              <w:t xml:space="preserve">Prior-year Q2</w:t>
            </w:r>
          </w:p>
        </w:tc>
      </w:tr>
      <w:tr>
        <w:tc>
          <w:tcPr/>
          <w:p>
            <w:pPr>
              <w:pStyle w:val="Compact"/>
            </w:pPr>
            <w:r>
              <w:t xml:space="preserve">Revenue</w:t>
            </w:r>
          </w:p>
        </w:tc>
        <w:tc>
          <w:tcPr/>
          <w:p>
            <w:pPr>
              <w:pStyle w:val="Compact"/>
              <w:jc w:val="right"/>
            </w:pPr>
            <w:r>
              <w:rPr>
                <w:b/>
                <w:bCs/>
              </w:rPr>
              <w:t xml:space="preserve">Street: ~$5.49B</w:t>
            </w:r>
          </w:p>
        </w:tc>
        <w:tc>
          <w:tcPr/>
          <w:p>
            <w:pPr>
              <w:pStyle w:val="Compact"/>
              <w:jc w:val="right"/>
            </w:pPr>
            <w:r>
              <w:t xml:space="preserve">$5.245B</w:t>
            </w:r>
          </w:p>
        </w:tc>
      </w:tr>
      <w:tr>
        <w:tc>
          <w:tcPr/>
          <w:p>
            <w:pPr>
              <w:pStyle w:val="Compact"/>
            </w:pPr>
            <w:r>
              <w:t xml:space="preserve">Reported revenue growth</w:t>
            </w:r>
          </w:p>
        </w:tc>
        <w:tc>
          <w:tcPr/>
          <w:p>
            <w:pPr>
              <w:pStyle w:val="Compact"/>
              <w:jc w:val="right"/>
            </w:pPr>
            <w:r>
              <w:rPr>
                <w:b/>
                <w:bCs/>
              </w:rPr>
              <w:t xml:space="preserve">~4.7%</w:t>
            </w:r>
          </w:p>
        </w:tc>
        <w:tc>
          <w:tcPr/>
          <w:p>
            <w:pPr>
              <w:pStyle w:val="Compact"/>
              <w:jc w:val="right"/>
            </w:pPr>
            <w:r>
              <w:t xml:space="preserve">8.1%</w:t>
            </w:r>
          </w:p>
        </w:tc>
      </w:tr>
      <w:tr>
        <w:tc>
          <w:tcPr/>
          <w:p>
            <w:pPr>
              <w:pStyle w:val="Compact"/>
            </w:pPr>
            <w:r>
              <w:t xml:space="preserve">Constant-currency revenue guidance</w:t>
            </w:r>
          </w:p>
        </w:tc>
        <w:tc>
          <w:tcPr/>
          <w:p>
            <w:pPr>
              <w:pStyle w:val="Compact"/>
              <w:jc w:val="right"/>
            </w:pPr>
            <w:r>
              <w:rPr>
                <w:b/>
                <w:bCs/>
              </w:rPr>
              <w:t xml:space="preserve">3.2%–4.7%</w:t>
            </w:r>
          </w:p>
        </w:tc>
        <w:tc>
          <w:tcPr/>
          <w:p>
            <w:pPr>
              <w:pStyle w:val="Compact"/>
              <w:jc w:val="right"/>
            </w:pPr>
            <w:r>
              <w:t xml:space="preserve">7.2% actual</w:t>
            </w:r>
          </w:p>
        </w:tc>
      </w:tr>
      <w:tr>
        <w:tc>
          <w:tcPr/>
          <w:p>
            <w:pPr>
              <w:pStyle w:val="Compact"/>
            </w:pPr>
            <w:r>
              <w:t xml:space="preserve">Reported revenue guidance</w:t>
            </w:r>
          </w:p>
        </w:tc>
        <w:tc>
          <w:tcPr/>
          <w:p>
            <w:pPr>
              <w:pStyle w:val="Compact"/>
              <w:jc w:val="right"/>
            </w:pPr>
            <m:oMath>
              <m:r>
                <m:t>5.45</m:t>
              </m:r>
              <m:r>
                <m:t>B</m:t>
              </m:r>
              <m:r>
                <m:rPr>
                  <m:sty m:val="p"/>
                </m:rPr>
                <m:t>–</m:t>
              </m:r>
            </m:oMath>
            <w:r>
              <w:rPr>
                <w:b/>
                <w:bCs/>
              </w:rPr>
              <w:t xml:space="preserve">5.52B</w:t>
            </w:r>
          </w:p>
        </w:tc>
        <w:tc>
          <w:tcPr/>
          <w:p>
            <w:pPr>
              <w:pStyle w:val="Compact"/>
              <w:jc w:val="right"/>
            </w:pPr>
            <w:r>
              <w:t xml:space="preserve">—</w:t>
            </w:r>
          </w:p>
        </w:tc>
      </w:tr>
      <w:tr>
        <w:tc>
          <w:tcPr/>
          <w:p>
            <w:pPr>
              <w:pStyle w:val="Compact"/>
            </w:pPr>
            <w:r>
              <w:t xml:space="preserve">Adjusted EPS</w:t>
            </w:r>
          </w:p>
        </w:tc>
        <w:tc>
          <w:tcPr/>
          <w:p>
            <w:pPr>
              <w:pStyle w:val="Compact"/>
              <w:jc w:val="right"/>
            </w:pPr>
            <w:r>
              <w:rPr>
                <w:b/>
                <w:bCs/>
              </w:rPr>
              <w:t xml:space="preserve">Street: ~$1.38</w:t>
            </w:r>
          </w:p>
        </w:tc>
        <w:tc>
          <w:tcPr/>
          <w:p>
            <w:pPr>
              <w:pStyle w:val="Compact"/>
              <w:jc w:val="right"/>
            </w:pPr>
            <w:r>
              <w:t xml:space="preserve">$1.31</w:t>
            </w:r>
          </w:p>
        </w:tc>
      </w:tr>
      <w:tr>
        <w:tc>
          <w:tcPr/>
          <w:p>
            <w:pPr>
              <w:pStyle w:val="Compact"/>
            </w:pPr>
            <w:r>
              <w:t xml:space="preserve">Adjusted EPS growth</w:t>
            </w:r>
          </w:p>
        </w:tc>
        <w:tc>
          <w:tcPr/>
          <w:p>
            <w:pPr>
              <w:pStyle w:val="Compact"/>
              <w:jc w:val="right"/>
            </w:pPr>
            <w:r>
              <w:rPr>
                <w:b/>
                <w:bCs/>
              </w:rPr>
              <w:t xml:space="preserve">~5%</w:t>
            </w:r>
          </w:p>
        </w:tc>
        <w:tc>
          <w:tcPr/>
          <w:p>
            <w:pPr>
              <w:pStyle w:val="Compact"/>
              <w:jc w:val="right"/>
            </w:pPr>
            <w:r>
              <w:t xml:space="preserve">12%</w:t>
            </w:r>
          </w:p>
        </w:tc>
      </w:tr>
      <w:tr>
        <w:tc>
          <w:tcPr/>
          <w:p>
            <w:pPr>
              <w:pStyle w:val="Compact"/>
            </w:pPr>
            <w:r>
              <w:t xml:space="preserve">FY26 constant-currency growth guidance</w:t>
            </w:r>
          </w:p>
        </w:tc>
        <w:tc>
          <w:tcPr/>
          <w:p>
            <w:pPr>
              <w:pStyle w:val="Compact"/>
              <w:jc w:val="right"/>
            </w:pPr>
            <w:r>
              <w:rPr>
                <w:b/>
                <w:bCs/>
              </w:rPr>
              <w:t xml:space="preserve">4.0%–6.5%</w:t>
            </w:r>
          </w:p>
        </w:tc>
        <w:tc>
          <w:tcPr/>
          <w:p>
            <w:pPr>
              <w:pStyle w:val="Compact"/>
              <w:jc w:val="right"/>
            </w:pPr>
            <w:r>
              <w:t xml:space="preserve">—</w:t>
            </w:r>
          </w:p>
        </w:tc>
      </w:tr>
      <w:tr>
        <w:tc>
          <w:tcPr/>
          <w:p>
            <w:pPr>
              <w:pStyle w:val="Compact"/>
            </w:pPr>
            <w:r>
              <w:t xml:space="preserve">FY26 adjusted operating-margin guidance</w:t>
            </w:r>
          </w:p>
        </w:tc>
        <w:tc>
          <w:tcPr/>
          <w:p>
            <w:pPr>
              <w:pStyle w:val="Compact"/>
              <w:jc w:val="right"/>
            </w:pPr>
            <w:r>
              <w:rPr>
                <w:b/>
                <w:bCs/>
              </w:rPr>
              <w:t xml:space="preserve">16.0%–16.2%</w:t>
            </w:r>
          </w:p>
        </w:tc>
        <w:tc>
          <w:tcPr/>
          <w:p>
            <w:pPr>
              <w:pStyle w:val="Compact"/>
              <w:jc w:val="right"/>
            </w:pPr>
            <w:r>
              <w:t xml:space="preserve">15.8% FY25</w:t>
            </w:r>
          </w:p>
        </w:tc>
      </w:tr>
      <w:tr>
        <w:tc>
          <w:tcPr/>
          <w:p>
            <w:pPr>
              <w:pStyle w:val="Compact"/>
            </w:pPr>
            <w:r>
              <w:t xml:space="preserve">FY26 adjusted EPS guidance</w:t>
            </w:r>
          </w:p>
        </w:tc>
        <w:tc>
          <w:tcPr/>
          <w:p>
            <w:pPr>
              <w:pStyle w:val="Compact"/>
              <w:jc w:val="right"/>
            </w:pPr>
            <m:oMath>
              <m:r>
                <m:t>5.63</m:t>
              </m:r>
              <m:r>
                <m:rPr>
                  <m:sty m:val="p"/>
                </m:rPr>
                <m:t>–</m:t>
              </m:r>
            </m:oMath>
            <w:r>
              <w:rPr>
                <w:b/>
                <w:bCs/>
              </w:rPr>
              <w:t xml:space="preserve">5.77</w:t>
            </w:r>
          </w:p>
        </w:tc>
        <w:tc>
          <w:tcPr/>
          <w:p>
            <w:pPr>
              <w:pStyle w:val="Compact"/>
              <w:jc w:val="right"/>
            </w:pPr>
            <w:r>
              <w:t xml:space="preserve">$5.28 FY25</w:t>
            </w:r>
          </w:p>
        </w:tc>
      </w:tr>
    </w:tbl>
    <w:p>
      <w:pPr>
        <w:pStyle w:val="BodyText"/>
      </w:pPr>
      <w:r>
        <w:t xml:space="preserve">The revenue consensus sits in the upper half of management's range, so a result near the midpoint may technically satisfy guidance but still feel soft. A cleaner outcome would be revenue of at least</w:t>
      </w:r>
      <w:r>
        <w:t xml:space="preserve"> </w:t>
      </w:r>
      <m:oMath>
        <m:r>
          <m:t>5.50</m:t>
        </m:r>
        <m:r>
          <m:t>b</m:t>
        </m:r>
        <m:r>
          <m:t>i</m:t>
        </m:r>
        <m:r>
          <m:t>l</m:t>
        </m:r>
        <m:r>
          <m:t>l</m:t>
        </m:r>
        <m:r>
          <m:t>i</m:t>
        </m:r>
        <m:r>
          <m:t>o</m:t>
        </m:r>
        <m:r>
          <m:t>n</m:t>
        </m:r>
        <m:r>
          <m:rPr>
            <m:sty m:val="p"/>
          </m:rPr>
          <m:t>*</m:t>
        </m:r>
        <m:r>
          <m:rPr>
            <m:sty m:val="p"/>
          </m:rPr>
          <m:t>*</m:t>
        </m:r>
        <m:r>
          <m:rPr>
            <m:sty m:val="p"/>
          </m:rPr>
          <m:t>,</m:t>
        </m:r>
        <m:r>
          <m:t>a</m:t>
        </m:r>
        <m:r>
          <m:t>d</m:t>
        </m:r>
        <m:r>
          <m:t>j</m:t>
        </m:r>
        <m:r>
          <m:t>u</m:t>
        </m:r>
        <m:r>
          <m:t>s</m:t>
        </m:r>
        <m:r>
          <m:t>t</m:t>
        </m:r>
        <m:r>
          <m:t>e</m:t>
        </m:r>
        <m:r>
          <m:t>d</m:t>
        </m:r>
        <m:r>
          <m:t>E</m:t>
        </m:r>
        <m:r>
          <m:t>P</m:t>
        </m:r>
        <m:r>
          <m:t>S</m:t>
        </m:r>
        <m:r>
          <m:t>a</m:t>
        </m:r>
        <m:r>
          <m:t>b</m:t>
        </m:r>
        <m:r>
          <m:t>o</m:t>
        </m:r>
        <m:r>
          <m:t>v</m:t>
        </m:r>
        <m:r>
          <m:t>e</m:t>
        </m:r>
        <m:r>
          <m:rPr>
            <m:sty m:val="p"/>
          </m:rPr>
          <m:t>*</m:t>
        </m:r>
        <m:r>
          <m:rPr>
            <m:sty m:val="p"/>
          </m:rPr>
          <m:t>*</m:t>
        </m:r>
      </m:oMath>
      <w:r>
        <w:rPr>
          <w:b/>
          <w:bCs/>
        </w:rPr>
        <w:t xml:space="preserve">1.38</w:t>
      </w:r>
      <w:r>
        <w:t xml:space="preserve">, and maintenance of the full-year outlook.</w:t>
      </w:r>
    </w:p>
    <w:p>
      <w:pPr>
        <w:pStyle w:val="BodyText"/>
      </w:pPr>
      <w:r>
        <w:t xml:space="preserve">At the July 28 share price, the midpoint of the existing</w:t>
      </w:r>
      <w:r>
        <w:t xml:space="preserve"> </w:t>
      </w:r>
      <m:oMath>
        <m:r>
          <m:t>5.63</m:t>
        </m:r>
        <m:r>
          <m:rPr>
            <m:sty m:val="p"/>
          </m:rPr>
          <m:t>–</m:t>
        </m:r>
      </m:oMath>
      <w:r>
        <w:t xml:space="preserve">5.77 EPS guide implies a valuation of roughly</w:t>
      </w:r>
      <w:r>
        <w:t xml:space="preserve"> </w:t>
      </w:r>
      <w:r>
        <w:rPr>
          <w:b/>
          <w:bCs/>
        </w:rPr>
        <w:t xml:space="preserve">8.8 times 2026 adjusted EPS</w:t>
      </w:r>
      <w:r>
        <w:t xml:space="preserve">. That is inexpensive if earnings remain durable, but the multiple also reflects skepticism over the industry's long-term economics.</w:t>
      </w:r>
    </w:p>
    <w:bookmarkEnd w:id="11"/>
    <w:bookmarkStart w:id="14" w:name="X057df13518fb136be801e4be18f4ea9877b02f1"/>
    <w:p>
      <w:pPr>
        <w:pStyle w:val="Heading2"/>
      </w:pPr>
      <w:r>
        <w:t xml:space="preserve">The most important issue: full-year guidance</w:t>
      </w:r>
    </w:p>
    <w:p>
      <w:pPr>
        <w:pStyle w:val="FirstParagraph"/>
      </w:pPr>
      <w:r>
        <w:t xml:space="preserve">Q1 revenue was $5.413 billion. If Q2 lands at consensus, first-half revenue would be approximately $10.90 billion.</w:t>
      </w:r>
    </w:p>
    <w:p>
      <w:pPr>
        <w:pStyle w:val="BodyText"/>
      </w:pPr>
      <w:r>
        <w:t xml:space="preserve">To reach the midpoint of full-year guidance, Cognizant would then need roughly</w:t>
      </w:r>
      <w:r>
        <w:t xml:space="preserve"> </w:t>
      </w:r>
      <m:oMath>
        <m:r>
          <m:t>11.47</m:t>
        </m:r>
        <m:r>
          <m:t>b</m:t>
        </m:r>
        <m:r>
          <m:t>i</m:t>
        </m:r>
        <m:r>
          <m:t>l</m:t>
        </m:r>
        <m:r>
          <m:t>l</m:t>
        </m:r>
        <m:r>
          <m:t>i</m:t>
        </m:r>
        <m:r>
          <m:t>o</m:t>
        </m:r>
        <m:r>
          <m:t>n</m:t>
        </m:r>
        <m:r>
          <m:rPr>
            <m:sty m:val="p"/>
          </m:rPr>
          <m:t>*</m:t>
        </m:r>
        <m:r>
          <m:rPr>
            <m:sty m:val="p"/>
          </m:rPr>
          <m:t>*</m:t>
        </m:r>
        <m:r>
          <m:t>o</m:t>
        </m:r>
        <m:r>
          <m:t>f</m:t>
        </m:r>
        <m:r>
          <m:t>s</m:t>
        </m:r>
        <m:r>
          <m:t>e</m:t>
        </m:r>
        <m:r>
          <m:t>c</m:t>
        </m:r>
        <m:r>
          <m:t>o</m:t>
        </m:r>
        <m:r>
          <m:t>n</m:t>
        </m:r>
        <m:r>
          <m:t>d</m:t>
        </m:r>
        <m:r>
          <m:rPr>
            <m:sty m:val="p"/>
          </m:rPr>
          <m:t>−</m:t>
        </m:r>
        <m:r>
          <m:t>h</m:t>
        </m:r>
        <m:r>
          <m:t>a</m:t>
        </m:r>
        <m:r>
          <m:t>l</m:t>
        </m:r>
        <m:r>
          <m:t>f</m:t>
        </m:r>
        <m:r>
          <m:t>r</m:t>
        </m:r>
        <m:r>
          <m:t>e</m:t>
        </m:r>
        <m:r>
          <m:t>v</m:t>
        </m:r>
        <m:r>
          <m:t>e</m:t>
        </m:r>
        <m:r>
          <m:t>n</m:t>
        </m:r>
        <m:r>
          <m:t>u</m:t>
        </m:r>
        <m:r>
          <m:t>e</m:t>
        </m:r>
        <m:r>
          <m:rPr>
            <m:sty m:val="p"/>
          </m:rPr>
          <m:t>,</m:t>
        </m:r>
        <m:r>
          <m:t>o</m:t>
        </m:r>
        <m:r>
          <m:t>r</m:t>
        </m:r>
        <m:r>
          <m:t>a</m:t>
        </m:r>
        <m:r>
          <m:t>b</m:t>
        </m:r>
        <m:r>
          <m:t>o</m:t>
        </m:r>
        <m:r>
          <m:t>u</m:t>
        </m:r>
        <m:r>
          <m:t>t</m:t>
        </m:r>
        <m:r>
          <m:rPr>
            <m:sty m:val="p"/>
          </m:rPr>
          <m:t>*</m:t>
        </m:r>
        <m:r>
          <m:rPr>
            <m:sty m:val="p"/>
          </m:rPr>
          <m:t>*</m:t>
        </m:r>
      </m:oMath>
      <w:r>
        <w:rPr>
          <w:b/>
          <w:bCs/>
        </w:rPr>
        <w:t xml:space="preserve">5.74 billion per quarter</w:t>
      </w:r>
      <w:r>
        <w:t xml:space="preserve">. That requires a meaningful acceleration from Q2, supported by:</w:t>
      </w:r>
    </w:p>
    <w:p>
      <w:pPr>
        <w:pStyle w:val="Compact"/>
        <w:numPr>
          <w:ilvl w:val="0"/>
          <w:numId w:val="1002"/>
        </w:numPr>
      </w:pPr>
      <w:r>
        <w:t xml:space="preserve">The ramp of large deals signed in late 2025 and Q1 2026.</w:t>
      </w:r>
    </w:p>
    <w:p>
      <w:pPr>
        <w:pStyle w:val="Compact"/>
        <w:numPr>
          <w:ilvl w:val="0"/>
          <w:numId w:val="1002"/>
        </w:numPr>
      </w:pPr>
      <w:r>
        <w:t xml:space="preserve">A full-quarter contribution from Astreya.</w:t>
      </w:r>
    </w:p>
    <w:p>
      <w:pPr>
        <w:pStyle w:val="Compact"/>
        <w:numPr>
          <w:ilvl w:val="0"/>
          <w:numId w:val="1002"/>
        </w:numPr>
      </w:pPr>
      <w:r>
        <w:t xml:space="preserve">Continued contribution from 3Cloud.</w:t>
      </w:r>
    </w:p>
    <w:p>
      <w:pPr>
        <w:pStyle w:val="Compact"/>
        <w:numPr>
          <w:ilvl w:val="0"/>
          <w:numId w:val="1002"/>
        </w:numPr>
      </w:pPr>
      <w:r>
        <w:t xml:space="preserve">Some improvement in discretionary spending.</w:t>
      </w:r>
    </w:p>
    <w:p>
      <w:pPr>
        <w:pStyle w:val="FirstParagraph"/>
      </w:pPr>
      <w:r>
        <w:t xml:space="preserve">Management explicitly said last quarter that the midpoint assumed a better second-half discretionary environment than it was seeing in Q2. That assumption is now the largest near-term risk to guidance.</w:t>
      </w:r>
    </w:p>
    <w:p>
      <w:pPr>
        <w:pStyle w:val="BodyText"/>
      </w:pPr>
      <w:r>
        <w:t xml:space="preserve">Recent peer results are mixed rather than reassuring. Wipro reported just</w:t>
      </w:r>
      <w:r>
        <w:t xml:space="preserve"> </w:t>
      </w:r>
      <w:r>
        <w:rPr>
          <w:b/>
          <w:bCs/>
        </w:rPr>
        <w:t xml:space="preserve">0.9% constant-currency IT-services growth</w:t>
      </w:r>
      <w:r>
        <w:t xml:space="preserve">, a sequential decline, and guided the following quarter to between a 1.5% decline and 0.5% growth. Infosys produced positive constant-currency growth and strong large-deal wins, but reduced its annual growth outlook. The read-through is that cost-takeout and large-deal demand remain available, while broad discretionary recovery is still elusive. (</w:t>
      </w:r>
      <w:hyperlink r:id="rId12">
        <w:r>
          <w:rPr>
            <w:rStyle w:val="Hyperlink"/>
          </w:rPr>
          <w:t xml:space="preserve">wipro.com</w:t>
        </w:r>
      </w:hyperlink>
      <w:r>
        <w:t xml:space="preserve">)</w:t>
      </w:r>
    </w:p>
    <w:bookmarkStart w:id="13" w:name="Xee27e2b0184a3290d8737d22218bf0df27162d0"/>
    <w:p>
      <w:pPr>
        <w:pStyle w:val="Heading3"/>
      </w:pPr>
      <w:r>
        <w:t xml:space="preserve">What would count as a positive guidance outcome?</w:t>
      </w:r>
    </w:p>
    <w:p>
      <w:pPr>
        <w:pStyle w:val="Compact"/>
        <w:numPr>
          <w:ilvl w:val="0"/>
          <w:numId w:val="1003"/>
        </w:numPr>
      </w:pPr>
      <w:r>
        <w:t xml:space="preserve">Reaffirming the entire</w:t>
      </w:r>
      <w:r>
        <w:t xml:space="preserve"> </w:t>
      </w:r>
      <w:r>
        <w:rPr>
          <w:b/>
          <w:bCs/>
        </w:rPr>
        <w:t xml:space="preserve">4.0%–6.5% constant-currency growth range</w:t>
      </w:r>
      <w:r>
        <w:t xml:space="preserve">.</w:t>
      </w:r>
    </w:p>
    <w:p>
      <w:pPr>
        <w:pStyle w:val="Compact"/>
        <w:numPr>
          <w:ilvl w:val="0"/>
          <w:numId w:val="1003"/>
        </w:numPr>
      </w:pPr>
      <w:r>
        <w:t xml:space="preserve">Keeping the midpoint credible without relying on a sharp discretionary-spending rebound.</w:t>
      </w:r>
    </w:p>
    <w:p>
      <w:pPr>
        <w:pStyle w:val="Compact"/>
        <w:numPr>
          <w:ilvl w:val="0"/>
          <w:numId w:val="1003"/>
        </w:numPr>
      </w:pPr>
      <w:r>
        <w:t xml:space="preserve">Q3 guidance demonstrating sequential growth from Q2.</w:t>
      </w:r>
    </w:p>
    <w:p>
      <w:pPr>
        <w:pStyle w:val="Compact"/>
        <w:numPr>
          <w:ilvl w:val="0"/>
          <w:numId w:val="1003"/>
        </w:numPr>
      </w:pPr>
      <w:r>
        <w:t xml:space="preserve">Confirmation that deal ramps—not acquisitions alone—will drive the second-half acceleration.</w:t>
      </w:r>
    </w:p>
    <w:p>
      <w:pPr>
        <w:pStyle w:val="FirstParagraph"/>
      </w:pPr>
      <w:r>
        <w:t xml:space="preserve">A reduction in the top end might already be partly anticipated. A cut to the midpoint or an outlook implying weak organic growth would be more damaging.</w:t>
      </w:r>
    </w:p>
    <w:bookmarkEnd w:id="13"/>
    <w:bookmarkEnd w:id="14"/>
    <w:bookmarkStart w:id="21" w:name="five-items-to-watch"/>
    <w:p>
      <w:pPr>
        <w:pStyle w:val="Heading2"/>
      </w:pPr>
      <w:r>
        <w:t xml:space="preserve">Five items to watch</w:t>
      </w:r>
    </w:p>
    <w:bookmarkStart w:id="16" w:name="X3d99d69f241914a71d0a8a0287f135e688f220f"/>
    <w:p>
      <w:pPr>
        <w:pStyle w:val="Heading3"/>
      </w:pPr>
      <w:r>
        <w:t xml:space="preserve">1. Bookings quality and conversion</w:t>
      </w:r>
    </w:p>
    <w:p>
      <w:pPr>
        <w:pStyle w:val="FirstParagraph"/>
      </w:pPr>
      <w:r>
        <w:t xml:space="preserve">Q1 was strong:</w:t>
      </w:r>
    </w:p>
    <w:p>
      <w:pPr>
        <w:pStyle w:val="Compact"/>
        <w:numPr>
          <w:ilvl w:val="0"/>
          <w:numId w:val="1004"/>
        </w:numPr>
      </w:pPr>
      <w:r>
        <w:t xml:space="preserve">Quarterly bookings increased</w:t>
      </w:r>
      <w:r>
        <w:t xml:space="preserve"> </w:t>
      </w:r>
      <w:r>
        <w:rPr>
          <w:b/>
          <w:bCs/>
        </w:rPr>
        <w:t xml:space="preserve">21%</w:t>
      </w:r>
      <w:r>
        <w:t xml:space="preserve">.</w:t>
      </w:r>
    </w:p>
    <w:p>
      <w:pPr>
        <w:pStyle w:val="Compact"/>
        <w:numPr>
          <w:ilvl w:val="0"/>
          <w:numId w:val="1004"/>
        </w:numPr>
      </w:pPr>
      <w:r>
        <w:t xml:space="preserve">Trailing-12-month bookings reached</w:t>
      </w:r>
      <w:r>
        <w:t xml:space="preserve"> </w:t>
      </w:r>
      <w:r>
        <w:rPr>
          <w:b/>
          <w:bCs/>
        </w:rPr>
        <w:t xml:space="preserve">$29.6 billion</w:t>
      </w:r>
      <w:r>
        <w:t xml:space="preserve">.</w:t>
      </w:r>
    </w:p>
    <w:p>
      <w:pPr>
        <w:pStyle w:val="Compact"/>
        <w:numPr>
          <w:ilvl w:val="0"/>
          <w:numId w:val="1004"/>
        </w:numPr>
      </w:pPr>
      <w:r>
        <w:t xml:space="preserve">Book-to-bill was approximately</w:t>
      </w:r>
      <w:r>
        <w:t xml:space="preserve"> </w:t>
      </w:r>
      <w:r>
        <w:rPr>
          <w:b/>
          <w:bCs/>
        </w:rPr>
        <w:t xml:space="preserve">1.4 times</w:t>
      </w:r>
      <w:r>
        <w:t xml:space="preserve">.</w:t>
      </w:r>
    </w:p>
    <w:p>
      <w:pPr>
        <w:pStyle w:val="Compact"/>
        <w:numPr>
          <w:ilvl w:val="0"/>
          <w:numId w:val="1004"/>
        </w:numPr>
      </w:pPr>
      <w:r>
        <w:t xml:space="preserve">Cognizant signed seven deals above $100 million, including one above $500 million.</w:t>
      </w:r>
    </w:p>
    <w:p>
      <w:pPr>
        <w:pStyle w:val="FirstParagraph"/>
      </w:pPr>
      <w:r>
        <w:t xml:space="preserve">Management also said large-deal TCV increased more than 70%. (</w:t>
      </w:r>
      <w:hyperlink r:id="rId15">
        <w:r>
          <w:rPr>
            <w:rStyle w:val="Hyperlink"/>
          </w:rPr>
          <w:t xml:space="preserve">investors.cognizant.com</w:t>
        </w:r>
      </w:hyperlink>
      <w:r>
        <w:t xml:space="preserve">)</w:t>
      </w:r>
    </w:p>
    <w:p>
      <w:pPr>
        <w:pStyle w:val="BodyText"/>
      </w:pPr>
      <w:r>
        <w:t xml:space="preserve">The caveat is that annual contract value was flat because deal duration increased. That means headline TCV can look strong while near-term revenue contribution remains limited.</w:t>
      </w:r>
    </w:p>
    <w:p>
      <w:pPr>
        <w:pStyle w:val="BodyText"/>
      </w:pPr>
      <w:r>
        <w:t xml:space="preserve">Investors should focus on:</w:t>
      </w:r>
    </w:p>
    <w:p>
      <w:pPr>
        <w:pStyle w:val="Compact"/>
        <w:numPr>
          <w:ilvl w:val="0"/>
          <w:numId w:val="1005"/>
        </w:numPr>
      </w:pPr>
      <w:r>
        <w:t xml:space="preserve">Quarterly and trailing-12-month bookings growth.</w:t>
      </w:r>
    </w:p>
    <w:p>
      <w:pPr>
        <w:pStyle w:val="Compact"/>
        <w:numPr>
          <w:ilvl w:val="0"/>
          <w:numId w:val="1005"/>
        </w:numPr>
      </w:pPr>
      <w:r>
        <w:t xml:space="preserve">Number of $100 million-plus deals.</w:t>
      </w:r>
    </w:p>
    <w:p>
      <w:pPr>
        <w:pStyle w:val="Compact"/>
        <w:numPr>
          <w:ilvl w:val="0"/>
          <w:numId w:val="1005"/>
        </w:numPr>
      </w:pPr>
      <w:r>
        <w:t xml:space="preserve">Mix of new business versus renewals and vendor consolidations.</w:t>
      </w:r>
    </w:p>
    <w:p>
      <w:pPr>
        <w:pStyle w:val="Compact"/>
        <w:numPr>
          <w:ilvl w:val="0"/>
          <w:numId w:val="1005"/>
        </w:numPr>
      </w:pPr>
      <w:r>
        <w:t xml:space="preserve">ACV growth and average deal duration.</w:t>
      </w:r>
    </w:p>
    <w:p>
      <w:pPr>
        <w:pStyle w:val="Compact"/>
        <w:numPr>
          <w:ilvl w:val="0"/>
          <w:numId w:val="1005"/>
        </w:numPr>
      </w:pPr>
      <w:r>
        <w:t xml:space="preserve">Whether late-2025 and Q1 deals are ramping on schedule.</w:t>
      </w:r>
    </w:p>
    <w:p>
      <w:pPr>
        <w:pStyle w:val="Compact"/>
        <w:numPr>
          <w:ilvl w:val="0"/>
          <w:numId w:val="1005"/>
        </w:numPr>
      </w:pPr>
      <w:r>
        <w:t xml:space="preserve">Any transition delays, cancellations or scope reductions.</w:t>
      </w:r>
    </w:p>
    <w:p>
      <w:pPr>
        <w:pStyle w:val="FirstParagraph"/>
      </w:pPr>
      <w:r>
        <w:rPr>
          <w:b/>
          <w:bCs/>
        </w:rPr>
        <w:t xml:space="preserve">Best signal:</w:t>
      </w:r>
      <w:r>
        <w:t xml:space="preserve"> </w:t>
      </w:r>
      <w:r>
        <w:t xml:space="preserve">strong bookings accompanied by improving ACV and explicit revenue-conversion commentary.</w:t>
      </w:r>
    </w:p>
    <w:p>
      <w:pPr>
        <w:pStyle w:val="BodyText"/>
      </w:pPr>
      <w:r>
        <w:rPr>
          <w:b/>
          <w:bCs/>
        </w:rPr>
        <w:t xml:space="preserve">Weak signal:</w:t>
      </w:r>
      <w:r>
        <w:t xml:space="preserve"> </w:t>
      </w:r>
      <w:r>
        <w:t xml:space="preserve">another large TCV number driven primarily by longer contracts, with little change in near-term revenue visibility.</w:t>
      </w:r>
    </w:p>
    <w:bookmarkEnd w:id="16"/>
    <w:bookmarkStart w:id="17" w:name="X3b0ca8bf34a8d272c493cfe27319f83bb62dd08"/>
    <w:p>
      <w:pPr>
        <w:pStyle w:val="Heading3"/>
      </w:pPr>
      <w:r>
        <w:t xml:space="preserve">2. Organic growth versus acquisitions and product resale</w:t>
      </w:r>
    </w:p>
    <w:p>
      <w:pPr>
        <w:pStyle w:val="FirstParagraph"/>
      </w:pPr>
      <w:r>
        <w:t xml:space="preserve">Cognizant's Q2 constant-currency guide includes approximately</w:t>
      </w:r>
      <w:r>
        <w:t xml:space="preserve"> </w:t>
      </w:r>
      <w:r>
        <w:rPr>
          <w:b/>
          <w:bCs/>
        </w:rPr>
        <w:t xml:space="preserve">150 basis points of acquisition contribution</w:t>
      </w:r>
      <w:r>
        <w:t xml:space="preserve">, including a partial quarter from Astreya.</w:t>
      </w:r>
    </w:p>
    <w:p>
      <w:pPr>
        <w:pStyle w:val="BodyText"/>
      </w:pPr>
      <w:r>
        <w:t xml:space="preserve">That implies underlying organic growth may be only around</w:t>
      </w:r>
      <w:r>
        <w:t xml:space="preserve"> </w:t>
      </w:r>
      <w:r>
        <w:rPr>
          <w:b/>
          <w:bCs/>
        </w:rPr>
        <w:t xml:space="preserve">1.7%–3.2%</w:t>
      </w:r>
      <w:r>
        <w:t xml:space="preserve"> </w:t>
      </w:r>
      <w:r>
        <w:t xml:space="preserve">before considering the effects of third-party product revenue. Product resale can also make reported growth stronger while depressing gross margin.</w:t>
      </w:r>
    </w:p>
    <w:p>
      <w:pPr>
        <w:pStyle w:val="BodyText"/>
      </w:pPr>
      <w:r>
        <w:t xml:space="preserve">Investors should distinguish among:</w:t>
      </w:r>
    </w:p>
    <w:p>
      <w:pPr>
        <w:pStyle w:val="Compact"/>
        <w:numPr>
          <w:ilvl w:val="0"/>
          <w:numId w:val="1006"/>
        </w:numPr>
      </w:pPr>
      <w:r>
        <w:t xml:space="preserve">Organic services growth.</w:t>
      </w:r>
    </w:p>
    <w:p>
      <w:pPr>
        <w:pStyle w:val="Compact"/>
        <w:numPr>
          <w:ilvl w:val="0"/>
          <w:numId w:val="1006"/>
        </w:numPr>
      </w:pPr>
      <w:r>
        <w:t xml:space="preserve">3Cloud and Astreya contributions.</w:t>
      </w:r>
    </w:p>
    <w:p>
      <w:pPr>
        <w:pStyle w:val="Compact"/>
        <w:numPr>
          <w:ilvl w:val="0"/>
          <w:numId w:val="1006"/>
        </w:numPr>
      </w:pPr>
      <w:r>
        <w:t xml:space="preserve">Third-party hardware/software revenue.</w:t>
      </w:r>
    </w:p>
    <w:p>
      <w:pPr>
        <w:pStyle w:val="Compact"/>
        <w:numPr>
          <w:ilvl w:val="0"/>
          <w:numId w:val="1006"/>
        </w:numPr>
      </w:pPr>
      <w:r>
        <w:t xml:space="preserve">Foreign-exchange effects.</w:t>
      </w:r>
    </w:p>
    <w:p>
      <w:pPr>
        <w:pStyle w:val="FirstParagraph"/>
      </w:pPr>
      <w:r>
        <w:t xml:space="preserve">A revenue beat driven mostly by acquisitions or low-margin product sales would be lower quality than a beat from core services.</w:t>
      </w:r>
    </w:p>
    <w:bookmarkEnd w:id="17"/>
    <w:bookmarkStart w:id="18" w:name="Xf79d6da61872640f96ae072405eeadd22539fc1"/>
    <w:p>
      <w:pPr>
        <w:pStyle w:val="Heading3"/>
      </w:pPr>
      <w:r>
        <w:t xml:space="preserve">3. Financial Services versus Health Sciences</w:t>
      </w:r>
    </w:p>
    <w:p>
      <w:pPr>
        <w:pStyle w:val="FirstParagraph"/>
      </w:pPr>
      <w:r>
        <w:t xml:space="preserve">Financial Services was the clear Q1 standout, growing more than</w:t>
      </w:r>
      <w:r>
        <w:t xml:space="preserve"> </w:t>
      </w:r>
      <w:r>
        <w:rPr>
          <w:b/>
          <w:bCs/>
        </w:rPr>
        <w:t xml:space="preserve">10% in constant currency</w:t>
      </w:r>
      <w:r>
        <w:t xml:space="preserve"> </w:t>
      </w:r>
      <w:r>
        <w:t xml:space="preserve">and representing about 30% of company revenue. Cognizant cited healthy discretionary spending as well as large-deal ramps across banking and insurance.</w:t>
      </w:r>
    </w:p>
    <w:p>
      <w:pPr>
        <w:pStyle w:val="BodyText"/>
      </w:pPr>
      <w:r>
        <w:t xml:space="preserve">The central question is whether that momentum continued through Q2. Continued high-single-digit or double-digit growth would materially support the full-year outlook.</w:t>
      </w:r>
    </w:p>
    <w:p>
      <w:pPr>
        <w:pStyle w:val="BodyText"/>
      </w:pPr>
      <w:r>
        <w:t xml:space="preserve">Health Sciences is more complicated. Reported Q1 performance was affected by lower third-party product revenue; excluding that factor, management said services growth was closer to the company average. Investors should look for:</w:t>
      </w:r>
    </w:p>
    <w:p>
      <w:pPr>
        <w:pStyle w:val="Compact"/>
        <w:numPr>
          <w:ilvl w:val="0"/>
          <w:numId w:val="1007"/>
        </w:numPr>
      </w:pPr>
      <w:r>
        <w:t xml:space="preserve">Underlying healthcare-services growth.</w:t>
      </w:r>
    </w:p>
    <w:p>
      <w:pPr>
        <w:pStyle w:val="Compact"/>
        <w:numPr>
          <w:ilvl w:val="0"/>
          <w:numId w:val="1007"/>
        </w:numPr>
      </w:pPr>
      <w:r>
        <w:t xml:space="preserve">TriZetto performance and profitability.</w:t>
      </w:r>
    </w:p>
    <w:p>
      <w:pPr>
        <w:pStyle w:val="Compact"/>
        <w:numPr>
          <w:ilvl w:val="0"/>
          <w:numId w:val="1007"/>
        </w:numPr>
      </w:pPr>
      <w:r>
        <w:t xml:space="preserve">Regulatory or policy-related client delays.</w:t>
      </w:r>
    </w:p>
    <w:p>
      <w:pPr>
        <w:pStyle w:val="Compact"/>
        <w:numPr>
          <w:ilvl w:val="0"/>
          <w:numId w:val="1007"/>
        </w:numPr>
      </w:pPr>
      <w:r>
        <w:t xml:space="preserve">Evidence that the Palantir partnership is producing commercial opportunities.</w:t>
      </w:r>
    </w:p>
    <w:p>
      <w:pPr>
        <w:pStyle w:val="Compact"/>
        <w:numPr>
          <w:ilvl w:val="0"/>
          <w:numId w:val="1007"/>
        </w:numPr>
      </w:pPr>
      <w:r>
        <w:t xml:space="preserve">Growth in healthcare operations and outcome-based contracts.</w:t>
      </w:r>
    </w:p>
    <w:p>
      <w:pPr>
        <w:pStyle w:val="FirstParagraph"/>
      </w:pPr>
      <w:r>
        <w:t xml:space="preserve">A healthy Financial Services result paired with stabilizing healthcare would substantially improve the earnings mix.</w:t>
      </w:r>
    </w:p>
    <w:bookmarkEnd w:id="18"/>
    <w:bookmarkStart w:id="19" w:name="Xdd5cca8d07ab96e48e396725cb037c37b250d27"/>
    <w:p>
      <w:pPr>
        <w:pStyle w:val="Heading3"/>
      </w:pPr>
      <w:r>
        <w:t xml:space="preserve">4. Project Leap and margins</w:t>
      </w:r>
    </w:p>
    <w:p>
      <w:pPr>
        <w:pStyle w:val="FirstParagraph"/>
      </w:pPr>
      <w:r>
        <w:t xml:space="preserve">Project Leap is intended to redesign Cognizant's delivery model around AI-enabled teams, a broader entry-level talent base and a less top-heavy employee pyramid.</w:t>
      </w:r>
    </w:p>
    <w:p>
      <w:pPr>
        <w:pStyle w:val="BodyText"/>
      </w:pPr>
      <w:r>
        <w:t xml:space="preserve">Management expects:</w:t>
      </w:r>
    </w:p>
    <w:p>
      <w:pPr>
        <w:pStyle w:val="Compact"/>
        <w:numPr>
          <w:ilvl w:val="0"/>
          <w:numId w:val="1008"/>
        </w:numPr>
      </w:pPr>
      <m:oMath>
        <m:r>
          <m:t>200</m:t>
        </m:r>
        <m:r>
          <m:t>m</m:t>
        </m:r>
        <m:r>
          <m:t>i</m:t>
        </m:r>
        <m:r>
          <m:t>l</m:t>
        </m:r>
        <m:r>
          <m:t>l</m:t>
        </m:r>
        <m:r>
          <m:t>i</m:t>
        </m:r>
        <m:r>
          <m:t>o</m:t>
        </m:r>
        <m:r>
          <m:t>n</m:t>
        </m:r>
        <m:r>
          <m:rPr>
            <m:sty m:val="p"/>
          </m:rPr>
          <m:t>–</m:t>
        </m:r>
      </m:oMath>
      <w:r>
        <w:rPr>
          <w:b/>
          <w:bCs/>
        </w:rPr>
        <w:t xml:space="preserve">300 million</w:t>
      </w:r>
      <w:r>
        <w:t xml:space="preserve"> </w:t>
      </w:r>
      <w:r>
        <w:t xml:space="preserve">of savings during 2026.</w:t>
      </w:r>
    </w:p>
    <w:p>
      <w:pPr>
        <w:pStyle w:val="Compact"/>
        <w:numPr>
          <w:ilvl w:val="0"/>
          <w:numId w:val="1008"/>
        </w:numPr>
      </w:pPr>
      <m:oMath>
        <m:r>
          <m:t>230</m:t>
        </m:r>
        <m:r>
          <m:t>m</m:t>
        </m:r>
        <m:r>
          <m:t>i</m:t>
        </m:r>
        <m:r>
          <m:t>l</m:t>
        </m:r>
        <m:r>
          <m:t>l</m:t>
        </m:r>
        <m:r>
          <m:t>i</m:t>
        </m:r>
        <m:r>
          <m:t>o</m:t>
        </m:r>
        <m:r>
          <m:t>n</m:t>
        </m:r>
        <m:r>
          <m:rPr>
            <m:sty m:val="p"/>
          </m:rPr>
          <m:t>–</m:t>
        </m:r>
      </m:oMath>
      <w:r>
        <w:rPr>
          <w:b/>
          <w:bCs/>
        </w:rPr>
        <w:t xml:space="preserve">320 million</w:t>
      </w:r>
      <w:r>
        <w:t xml:space="preserve"> </w:t>
      </w:r>
      <w:r>
        <w:t xml:space="preserve">of substantially non-GAAP charges.</w:t>
      </w:r>
    </w:p>
    <w:p>
      <w:pPr>
        <w:pStyle w:val="Compact"/>
        <w:numPr>
          <w:ilvl w:val="0"/>
          <w:numId w:val="1008"/>
        </w:numPr>
      </w:pPr>
      <w:r>
        <w:t xml:space="preserve">A larger full-year savings benefit in 2027.</w:t>
      </w:r>
    </w:p>
    <w:p>
      <w:pPr>
        <w:pStyle w:val="Compact"/>
        <w:numPr>
          <w:ilvl w:val="0"/>
          <w:numId w:val="1008"/>
        </w:numPr>
      </w:pPr>
      <w:r>
        <w:t xml:space="preserve">Most savings to be reinvested in AI, offerings, partnerships and workforce skills.</w:t>
      </w:r>
    </w:p>
    <w:p>
      <w:pPr>
        <w:pStyle w:val="FirstParagraph"/>
      </w:pPr>
      <w:r>
        <w:t xml:space="preserve">The program allowed Cognizant to raise its adjusted operating-margin outlook to</w:t>
      </w:r>
      <w:r>
        <w:t xml:space="preserve"> </w:t>
      </w:r>
      <w:r>
        <w:rPr>
          <w:b/>
          <w:bCs/>
        </w:rPr>
        <w:t xml:space="preserve">16.0%–16.2%</w:t>
      </w:r>
      <w:r>
        <w:t xml:space="preserve">, representing 20–40 basis points of expansion. (</w:t>
      </w:r>
      <w:hyperlink r:id="rId15">
        <w:r>
          <w:rPr>
            <w:rStyle w:val="Hyperlink"/>
          </w:rPr>
          <w:t xml:space="preserve">investors.cognizant.com</w:t>
        </w:r>
      </w:hyperlink>
      <w:r>
        <w:t xml:space="preserve">)</w:t>
      </w:r>
    </w:p>
    <w:p>
      <w:pPr>
        <w:pStyle w:val="BodyText"/>
      </w:pPr>
      <w:r>
        <w:t xml:space="preserve">Key questions include:</w:t>
      </w:r>
    </w:p>
    <w:p>
      <w:pPr>
        <w:pStyle w:val="Compact"/>
        <w:numPr>
          <w:ilvl w:val="0"/>
          <w:numId w:val="1009"/>
        </w:numPr>
      </w:pPr>
      <w:r>
        <w:t xml:space="preserve">How much of the expected savings has already been actioned?</w:t>
      </w:r>
    </w:p>
    <w:p>
      <w:pPr>
        <w:pStyle w:val="Compact"/>
        <w:numPr>
          <w:ilvl w:val="0"/>
          <w:numId w:val="1009"/>
        </w:numPr>
      </w:pPr>
      <w:r>
        <w:t xml:space="preserve">Are severance costs tracking within the announced range?</w:t>
      </w:r>
    </w:p>
    <w:p>
      <w:pPr>
        <w:pStyle w:val="Compact"/>
        <w:numPr>
          <w:ilvl w:val="0"/>
          <w:numId w:val="1009"/>
        </w:numPr>
      </w:pPr>
      <w:r>
        <w:t xml:space="preserve">When do gross-margin benefits become visible?</w:t>
      </w:r>
    </w:p>
    <w:p>
      <w:pPr>
        <w:pStyle w:val="Compact"/>
        <w:numPr>
          <w:ilvl w:val="0"/>
          <w:numId w:val="1009"/>
        </w:numPr>
      </w:pPr>
      <w:r>
        <w:t xml:space="preserve">Is reinvestment rising faster than savings?</w:t>
      </w:r>
    </w:p>
    <w:p>
      <w:pPr>
        <w:pStyle w:val="Compact"/>
        <w:numPr>
          <w:ilvl w:val="0"/>
          <w:numId w:val="1009"/>
        </w:numPr>
      </w:pPr>
      <w:r>
        <w:t xml:space="preserve">Are large-deal transition costs peaking?</w:t>
      </w:r>
    </w:p>
    <w:p>
      <w:pPr>
        <w:pStyle w:val="Compact"/>
        <w:numPr>
          <w:ilvl w:val="0"/>
          <w:numId w:val="1009"/>
        </w:numPr>
      </w:pPr>
      <w:r>
        <w:t xml:space="preserve">Can management preserve margin guidance if revenue lands near the low end?</w:t>
      </w:r>
    </w:p>
    <w:p>
      <w:pPr>
        <w:pStyle w:val="FirstParagraph"/>
      </w:pPr>
      <w:r>
        <w:t xml:space="preserve">Q1 gross margin fell 80 basis points because of compensation, bench investment and lower-margin integrated offerings, even though adjusted operating margin expanded slightly. Gross-margin stabilization would therefore be an important positive.</w:t>
      </w:r>
    </w:p>
    <w:bookmarkEnd w:id="19"/>
    <w:bookmarkStart w:id="20" w:name="Xe9d17fd02453e98bb5da57722dbea7974f0c8c0"/>
    <w:p>
      <w:pPr>
        <w:pStyle w:val="Heading3"/>
      </w:pPr>
      <w:r>
        <w:t xml:space="preserve">5. AI: revenue opportunity or economic disruption?</w:t>
      </w:r>
    </w:p>
    <w:p>
      <w:pPr>
        <w:pStyle w:val="FirstParagraph"/>
      </w:pPr>
      <w:r>
        <w:t xml:space="preserve">Management's core argument is that Cognizant can become an “AI builder” rather than be displaced by AI. It reported more than 5,000 AI engagements in Q1, up from roughly 4,000 at year-end, and said nearly 40% of its code was AI-assisted.</w:t>
      </w:r>
    </w:p>
    <w:p>
      <w:pPr>
        <w:pStyle w:val="BodyText"/>
      </w:pPr>
      <w:r>
        <w:t xml:space="preserve">The strategy has three broad components:</w:t>
      </w:r>
    </w:p>
    <w:p>
      <w:pPr>
        <w:pStyle w:val="Compact"/>
        <w:numPr>
          <w:ilvl w:val="0"/>
          <w:numId w:val="1010"/>
        </w:numPr>
      </w:pPr>
      <w:r>
        <w:rPr>
          <w:b/>
          <w:bCs/>
        </w:rPr>
        <w:t xml:space="preserve">AI-led productivity:</w:t>
      </w:r>
      <w:r>
        <w:t xml:space="preserve"> </w:t>
      </w:r>
      <w:r>
        <w:t xml:space="preserve">software engineering, legacy modernization and cost takeout.</w:t>
      </w:r>
    </w:p>
    <w:p>
      <w:pPr>
        <w:pStyle w:val="Compact"/>
        <w:numPr>
          <w:ilvl w:val="0"/>
          <w:numId w:val="1010"/>
        </w:numPr>
      </w:pPr>
      <w:r>
        <w:rPr>
          <w:b/>
          <w:bCs/>
        </w:rPr>
        <w:t xml:space="preserve">Industrializing AI:</w:t>
      </w:r>
      <w:r>
        <w:t xml:space="preserve"> </w:t>
      </w:r>
      <w:r>
        <w:t xml:space="preserve">data engineering, AI infrastructure and moving proofs of concept into production.</w:t>
      </w:r>
    </w:p>
    <w:p>
      <w:pPr>
        <w:pStyle w:val="Compact"/>
        <w:numPr>
          <w:ilvl w:val="0"/>
          <w:numId w:val="1010"/>
        </w:numPr>
      </w:pPr>
      <w:r>
        <w:rPr>
          <w:b/>
          <w:bCs/>
        </w:rPr>
        <w:t xml:space="preserve">Agentifying operations:</w:t>
      </w:r>
      <w:r>
        <w:t xml:space="preserve"> </w:t>
      </w:r>
      <w:r>
        <w:t xml:space="preserve">embedding AI agents into healthcare, financial and customer-service workflows.</w:t>
      </w:r>
    </w:p>
    <w:p>
      <w:pPr>
        <w:pStyle w:val="FirstParagraph"/>
      </w:pPr>
      <w:r>
        <w:t xml:space="preserve">The market needs more than engagement counts. It needs evidence that AI produces:</w:t>
      </w:r>
    </w:p>
    <w:p>
      <w:pPr>
        <w:pStyle w:val="Compact"/>
        <w:numPr>
          <w:ilvl w:val="0"/>
          <w:numId w:val="1011"/>
        </w:numPr>
      </w:pPr>
      <w:r>
        <w:t xml:space="preserve">Incremental bookings and revenue.</w:t>
      </w:r>
    </w:p>
    <w:p>
      <w:pPr>
        <w:pStyle w:val="Compact"/>
        <w:numPr>
          <w:ilvl w:val="0"/>
          <w:numId w:val="1011"/>
        </w:numPr>
      </w:pPr>
      <w:r>
        <w:t xml:space="preserve">Higher fixed-price margins.</w:t>
      </w:r>
    </w:p>
    <w:p>
      <w:pPr>
        <w:pStyle w:val="Compact"/>
        <w:numPr>
          <w:ilvl w:val="0"/>
          <w:numId w:val="1011"/>
        </w:numPr>
      </w:pPr>
      <w:r>
        <w:t xml:space="preserve">Legacy-modernization projects that were previously uneconomic.</w:t>
      </w:r>
    </w:p>
    <w:p>
      <w:pPr>
        <w:pStyle w:val="Compact"/>
        <w:numPr>
          <w:ilvl w:val="0"/>
          <w:numId w:val="1011"/>
        </w:numPr>
      </w:pPr>
      <w:r>
        <w:t xml:space="preserve">Outcome- or transaction-based revenue.</w:t>
      </w:r>
    </w:p>
    <w:p>
      <w:pPr>
        <w:pStyle w:val="Compact"/>
        <w:numPr>
          <w:ilvl w:val="0"/>
          <w:numId w:val="1011"/>
        </w:numPr>
      </w:pPr>
      <w:r>
        <w:t xml:space="preserve">Greater revenue per employee.</w:t>
      </w:r>
    </w:p>
    <w:p>
      <w:pPr>
        <w:pStyle w:val="Compact"/>
        <w:numPr>
          <w:ilvl w:val="0"/>
          <w:numId w:val="1011"/>
        </w:numPr>
      </w:pPr>
      <w:r>
        <w:t xml:space="preserve">Productivity gains retained by Cognizant rather than fully passed through to clients.</w:t>
      </w:r>
    </w:p>
    <w:p>
      <w:pPr>
        <w:pStyle w:val="FirstParagraph"/>
      </w:pPr>
      <w:r>
        <w:t xml:space="preserve">Particularly important will be management's commentary on</w:t>
      </w:r>
      <w:r>
        <w:t xml:space="preserve"> </w:t>
      </w:r>
      <w:r>
        <w:rPr>
          <w:b/>
          <w:bCs/>
        </w:rPr>
        <w:t xml:space="preserve">AI-infused rate cards and token-based pricing</w:t>
      </w:r>
      <w:r>
        <w:t xml:space="preserve">. Cognizant argues it can share productivity with customers while retaining part of the benefit. If competitive bidding forces most savings back to customers, the long-term margin case weakens.</w:t>
      </w:r>
    </w:p>
    <w:bookmarkEnd w:id="20"/>
    <w:bookmarkEnd w:id="21"/>
    <w:bookmarkStart w:id="22" w:name="astreya-and-3cloud"/>
    <w:p>
      <w:pPr>
        <w:pStyle w:val="Heading2"/>
      </w:pPr>
      <w:r>
        <w:t xml:space="preserve">Astreya and 3Cloud</w:t>
      </w:r>
    </w:p>
    <w:p>
      <w:pPr>
        <w:pStyle w:val="FirstParagraph"/>
      </w:pPr>
      <w:r>
        <w:t xml:space="preserve">Cognizant is using acquisitions to expand its AI-related stack:</w:t>
      </w:r>
    </w:p>
    <w:p>
      <w:pPr>
        <w:pStyle w:val="Compact"/>
        <w:numPr>
          <w:ilvl w:val="0"/>
          <w:numId w:val="1012"/>
        </w:numPr>
      </w:pPr>
      <w:r>
        <w:rPr>
          <w:b/>
          <w:bCs/>
        </w:rPr>
        <w:t xml:space="preserve">3Cloud</w:t>
      </w:r>
      <w:r>
        <w:t xml:space="preserve"> </w:t>
      </w:r>
      <w:r>
        <w:t xml:space="preserve">adds Microsoft Azure, data and AI capabilities.</w:t>
      </w:r>
    </w:p>
    <w:p>
      <w:pPr>
        <w:pStyle w:val="Compact"/>
        <w:numPr>
          <w:ilvl w:val="0"/>
          <w:numId w:val="1012"/>
        </w:numPr>
      </w:pPr>
      <w:r>
        <w:rPr>
          <w:b/>
          <w:bCs/>
        </w:rPr>
        <w:t xml:space="preserve">Astreya</w:t>
      </w:r>
      <w:r>
        <w:t xml:space="preserve"> </w:t>
      </w:r>
      <w:r>
        <w:t xml:space="preserve">adds data-center infrastructure, networks and digital-workplace services.</w:t>
      </w:r>
    </w:p>
    <w:p>
      <w:pPr>
        <w:pStyle w:val="FirstParagraph"/>
      </w:pPr>
      <w:r>
        <w:t xml:space="preserve">Astreya should make a partial contribution in Q2 and a full contribution beginning in Q3. The strategic logic is credible because AI infrastructure spending can generate managed-services demand around cloud, data centers and workplace technology.</w:t>
      </w:r>
    </w:p>
    <w:p>
      <w:pPr>
        <w:pStyle w:val="BodyText"/>
      </w:pPr>
      <w:r>
        <w:t xml:space="preserve">Still, investors should assess:</w:t>
      </w:r>
    </w:p>
    <w:p>
      <w:pPr>
        <w:pStyle w:val="Compact"/>
        <w:numPr>
          <w:ilvl w:val="0"/>
          <w:numId w:val="1013"/>
        </w:numPr>
      </w:pPr>
      <w:r>
        <w:t xml:space="preserve">Revenue contribution relative to the original plan.</w:t>
      </w:r>
    </w:p>
    <w:p>
      <w:pPr>
        <w:pStyle w:val="Compact"/>
        <w:numPr>
          <w:ilvl w:val="0"/>
          <w:numId w:val="1013"/>
        </w:numPr>
      </w:pPr>
      <w:r>
        <w:t xml:space="preserve">Integration and retention.</w:t>
      </w:r>
    </w:p>
    <w:p>
      <w:pPr>
        <w:pStyle w:val="Compact"/>
        <w:numPr>
          <w:ilvl w:val="0"/>
          <w:numId w:val="1013"/>
        </w:numPr>
      </w:pPr>
      <w:r>
        <w:t xml:space="preserve">Margin profile.</w:t>
      </w:r>
    </w:p>
    <w:p>
      <w:pPr>
        <w:pStyle w:val="Compact"/>
        <w:numPr>
          <w:ilvl w:val="0"/>
          <w:numId w:val="1013"/>
        </w:numPr>
      </w:pPr>
      <w:r>
        <w:t xml:space="preserve">Cross-selling into Cognizant's client base.</w:t>
      </w:r>
    </w:p>
    <w:p>
      <w:pPr>
        <w:pStyle w:val="Compact"/>
        <w:numPr>
          <w:ilvl w:val="0"/>
          <w:numId w:val="1013"/>
        </w:numPr>
      </w:pPr>
      <w:r>
        <w:t xml:space="preserve">Whether acquisitions are masking weak organic growth.</w:t>
      </w:r>
    </w:p>
    <w:p>
      <w:pPr>
        <w:pStyle w:val="Compact"/>
        <w:numPr>
          <w:ilvl w:val="0"/>
          <w:numId w:val="1013"/>
        </w:numPr>
      </w:pPr>
      <w:r>
        <w:t xml:space="preserve">Any additional M&amp;A that could reduce near-term capital returns.</w:t>
      </w:r>
    </w:p>
    <w:bookmarkEnd w:id="22"/>
    <w:bookmarkStart w:id="23" w:name="cash-flow-and-capital-allocation"/>
    <w:p>
      <w:pPr>
        <w:pStyle w:val="Heading2"/>
      </w:pPr>
      <w:r>
        <w:t xml:space="preserve">Cash flow and capital allocation</w:t>
      </w:r>
    </w:p>
    <w:p>
      <w:pPr>
        <w:pStyle w:val="FirstParagraph"/>
      </w:pPr>
      <w:r>
        <w:t xml:space="preserve">Q1 free cash flow was only about</w:t>
      </w:r>
      <w:r>
        <w:t xml:space="preserve"> </w:t>
      </w:r>
      <w:r>
        <w:rPr>
          <w:b/>
          <w:bCs/>
        </w:rPr>
        <w:t xml:space="preserve">$198 million</w:t>
      </w:r>
      <w:r>
        <w:t xml:space="preserve">, reflecting seasonal bonus payments and working-capital usage. DSO increased to 84 days.</w:t>
      </w:r>
    </w:p>
    <w:p>
      <w:pPr>
        <w:pStyle w:val="BodyText"/>
      </w:pPr>
      <w:r>
        <w:t xml:space="preserve">Management maintained full-year free-cash-flow conversion guidance of</w:t>
      </w:r>
      <w:r>
        <w:t xml:space="preserve"> </w:t>
      </w:r>
      <w:r>
        <w:rPr>
          <w:b/>
          <w:bCs/>
        </w:rPr>
        <w:t xml:space="preserve">90%–100% of net income</w:t>
      </w:r>
      <w:r>
        <w:t xml:space="preserve"> </w:t>
      </w:r>
      <w:r>
        <w:t xml:space="preserve">and plans to return approximately</w:t>
      </w:r>
      <w:r>
        <w:t xml:space="preserve"> </w:t>
      </w:r>
      <w:r>
        <w:rPr>
          <w:b/>
          <w:bCs/>
        </w:rPr>
        <w:t xml:space="preserve">$1.6 billion</w:t>
      </w:r>
      <w:r>
        <w:t xml:space="preserve"> </w:t>
      </w:r>
      <w:r>
        <w:t xml:space="preserve">to shareholders in 2026, including $1 billion of repurchases.</w:t>
      </w:r>
    </w:p>
    <w:p>
      <w:pPr>
        <w:pStyle w:val="BodyText"/>
      </w:pPr>
      <w:r>
        <w:t xml:space="preserve">Items to monitor:</w:t>
      </w:r>
    </w:p>
    <w:p>
      <w:pPr>
        <w:pStyle w:val="Compact"/>
        <w:numPr>
          <w:ilvl w:val="0"/>
          <w:numId w:val="1014"/>
        </w:numPr>
      </w:pPr>
      <w:r>
        <w:t xml:space="preserve">DSO and receivables growth.</w:t>
      </w:r>
    </w:p>
    <w:p>
      <w:pPr>
        <w:pStyle w:val="Compact"/>
        <w:numPr>
          <w:ilvl w:val="0"/>
          <w:numId w:val="1014"/>
        </w:numPr>
      </w:pPr>
      <w:r>
        <w:t xml:space="preserve">Sequential free-cash-flow recovery.</w:t>
      </w:r>
    </w:p>
    <w:p>
      <w:pPr>
        <w:pStyle w:val="Compact"/>
        <w:numPr>
          <w:ilvl w:val="0"/>
          <w:numId w:val="1014"/>
        </w:numPr>
      </w:pPr>
      <w:r>
        <w:t xml:space="preserve">Cash costs associated with Project Leap.</w:t>
      </w:r>
    </w:p>
    <w:p>
      <w:pPr>
        <w:pStyle w:val="Compact"/>
        <w:numPr>
          <w:ilvl w:val="0"/>
          <w:numId w:val="1014"/>
        </w:numPr>
      </w:pPr>
      <w:r>
        <w:t xml:space="preserve">Acquisition spending.</w:t>
      </w:r>
    </w:p>
    <w:p>
      <w:pPr>
        <w:pStyle w:val="Compact"/>
        <w:numPr>
          <w:ilvl w:val="0"/>
          <w:numId w:val="1014"/>
        </w:numPr>
      </w:pPr>
      <w:r>
        <w:t xml:space="preserve">Pace of buybacks at the much lower share price.</w:t>
      </w:r>
    </w:p>
    <w:p>
      <w:pPr>
        <w:pStyle w:val="FirstParagraph"/>
      </w:pPr>
      <w:r>
        <w:t xml:space="preserve">At the current valuation, repurchases could be meaningfully accretive, assuming the earnings base is sustainable.</w:t>
      </w:r>
    </w:p>
    <w:bookmarkEnd w:id="23"/>
    <w:bookmarkStart w:id="27" w:name="potential-market-reactions"/>
    <w:p>
      <w:pPr>
        <w:pStyle w:val="Heading2"/>
      </w:pPr>
      <w:r>
        <w:t xml:space="preserve">Potential market reactions</w:t>
      </w:r>
    </w:p>
    <w:bookmarkStart w:id="24" w:name="bull-case"/>
    <w:p>
      <w:pPr>
        <w:pStyle w:val="Heading3"/>
      </w:pPr>
      <w:r>
        <w:t xml:space="preserve">Bull case</w:t>
      </w:r>
    </w:p>
    <w:p>
      <w:pPr>
        <w:pStyle w:val="FirstParagraph"/>
      </w:pPr>
      <w:r>
        <w:t xml:space="preserve">A constructive report would likely include:</w:t>
      </w:r>
    </w:p>
    <w:p>
      <w:pPr>
        <w:pStyle w:val="Compact"/>
        <w:numPr>
          <w:ilvl w:val="0"/>
          <w:numId w:val="1015"/>
        </w:numPr>
      </w:pPr>
      <w:r>
        <w:t xml:space="preserve">Revenue above $5.50 billion.</w:t>
      </w:r>
    </w:p>
    <w:p>
      <w:pPr>
        <w:pStyle w:val="Compact"/>
        <w:numPr>
          <w:ilvl w:val="0"/>
          <w:numId w:val="1015"/>
        </w:numPr>
      </w:pPr>
      <w:r>
        <w:t xml:space="preserve">EPS above $1.38.</w:t>
      </w:r>
    </w:p>
    <w:p>
      <w:pPr>
        <w:pStyle w:val="Compact"/>
        <w:numPr>
          <w:ilvl w:val="0"/>
          <w:numId w:val="1015"/>
        </w:numPr>
      </w:pPr>
      <w:r>
        <w:t xml:space="preserve">Organic services growth toward the high end of the implied range.</w:t>
      </w:r>
    </w:p>
    <w:p>
      <w:pPr>
        <w:pStyle w:val="Compact"/>
        <w:numPr>
          <w:ilvl w:val="0"/>
          <w:numId w:val="1015"/>
        </w:numPr>
      </w:pPr>
      <w:r>
        <w:t xml:space="preserve">Continued Financial Services strength.</w:t>
      </w:r>
    </w:p>
    <w:p>
      <w:pPr>
        <w:pStyle w:val="Compact"/>
        <w:numPr>
          <w:ilvl w:val="0"/>
          <w:numId w:val="1015"/>
        </w:numPr>
      </w:pPr>
      <w:r>
        <w:t xml:space="preserve">Healthy bookings and ACV.</w:t>
      </w:r>
    </w:p>
    <w:p>
      <w:pPr>
        <w:pStyle w:val="Compact"/>
        <w:numPr>
          <w:ilvl w:val="0"/>
          <w:numId w:val="1015"/>
        </w:numPr>
      </w:pPr>
      <w:r>
        <w:t xml:space="preserve">Q3 sequential growth.</w:t>
      </w:r>
    </w:p>
    <w:p>
      <w:pPr>
        <w:pStyle w:val="Compact"/>
        <w:numPr>
          <w:ilvl w:val="0"/>
          <w:numId w:val="1015"/>
        </w:numPr>
      </w:pPr>
      <w:r>
        <w:t xml:space="preserve">Full-year revenue, margin and EPS guidance reaffirmed.</w:t>
      </w:r>
    </w:p>
    <w:p>
      <w:pPr>
        <w:pStyle w:val="Compact"/>
        <w:numPr>
          <w:ilvl w:val="0"/>
          <w:numId w:val="1015"/>
        </w:numPr>
      </w:pPr>
      <w:r>
        <w:t xml:space="preserve">Project Leap savings on schedule.</w:t>
      </w:r>
    </w:p>
    <w:p>
      <w:pPr>
        <w:pStyle w:val="Compact"/>
        <w:numPr>
          <w:ilvl w:val="0"/>
          <w:numId w:val="1015"/>
        </w:numPr>
      </w:pPr>
      <w:r>
        <w:t xml:space="preserve">Concrete AI revenue or margin evidence.</w:t>
      </w:r>
    </w:p>
    <w:p>
      <w:pPr>
        <w:pStyle w:val="FirstParagraph"/>
      </w:pPr>
      <w:r>
        <w:t xml:space="preserve">That combination could support further multiple recovery because the shares already discount significant structural deterioration.</w:t>
      </w:r>
    </w:p>
    <w:bookmarkEnd w:id="24"/>
    <w:bookmarkStart w:id="25" w:name="base-case"/>
    <w:p>
      <w:pPr>
        <w:pStyle w:val="Heading3"/>
      </w:pPr>
      <w:r>
        <w:t xml:space="preserve">Base case</w:t>
      </w:r>
    </w:p>
    <w:p>
      <w:pPr>
        <w:pStyle w:val="Compact"/>
        <w:numPr>
          <w:ilvl w:val="0"/>
          <w:numId w:val="1016"/>
        </w:numPr>
      </w:pPr>
      <w:r>
        <w:t xml:space="preserve">Revenue and EPS approximately in line.</w:t>
      </w:r>
    </w:p>
    <w:p>
      <w:pPr>
        <w:pStyle w:val="Compact"/>
        <w:numPr>
          <w:ilvl w:val="0"/>
          <w:numId w:val="1016"/>
        </w:numPr>
      </w:pPr>
      <w:r>
        <w:t xml:space="preserve">Solid large-deal bookings but limited ACV acceleration.</w:t>
      </w:r>
    </w:p>
    <w:p>
      <w:pPr>
        <w:pStyle w:val="Compact"/>
        <w:numPr>
          <w:ilvl w:val="0"/>
          <w:numId w:val="1016"/>
        </w:numPr>
      </w:pPr>
      <w:r>
        <w:t xml:space="preserve">Financial Services remains strong, offset by weak discretionary areas.</w:t>
      </w:r>
    </w:p>
    <w:p>
      <w:pPr>
        <w:pStyle w:val="Compact"/>
        <w:numPr>
          <w:ilvl w:val="0"/>
          <w:numId w:val="1016"/>
        </w:numPr>
      </w:pPr>
      <w:r>
        <w:t xml:space="preserve">Full-year guidance is maintained, though management emphasizes the lower half.</w:t>
      </w:r>
    </w:p>
    <w:p>
      <w:pPr>
        <w:pStyle w:val="Compact"/>
        <w:numPr>
          <w:ilvl w:val="0"/>
          <w:numId w:val="1016"/>
        </w:numPr>
      </w:pPr>
      <w:r>
        <w:t xml:space="preserve">Margin guidance stays intact because Project Leap offsets operating pressure.</w:t>
      </w:r>
    </w:p>
    <w:p>
      <w:pPr>
        <w:pStyle w:val="FirstParagraph"/>
      </w:pPr>
      <w:r>
        <w:t xml:space="preserve">The stock reaction may depend more on Q3 guidance and the credibility of the second-half ramp than on the reported Q2 numbers.</w:t>
      </w:r>
    </w:p>
    <w:bookmarkEnd w:id="25"/>
    <w:bookmarkStart w:id="26" w:name="bear-case"/>
    <w:p>
      <w:pPr>
        <w:pStyle w:val="Heading3"/>
      </w:pPr>
      <w:r>
        <w:t xml:space="preserve">Bear case</w:t>
      </w:r>
    </w:p>
    <w:p>
      <w:pPr>
        <w:pStyle w:val="FirstParagraph"/>
      </w:pPr>
      <w:r>
        <w:t xml:space="preserve">The most concerning combination would be:</w:t>
      </w:r>
    </w:p>
    <w:p>
      <w:pPr>
        <w:pStyle w:val="Compact"/>
        <w:numPr>
          <w:ilvl w:val="0"/>
          <w:numId w:val="1017"/>
        </w:numPr>
      </w:pPr>
      <w:r>
        <w:t xml:space="preserve">Revenue near or below $5.45 billion.</w:t>
      </w:r>
    </w:p>
    <w:p>
      <w:pPr>
        <w:pStyle w:val="Compact"/>
        <w:numPr>
          <w:ilvl w:val="0"/>
          <w:numId w:val="1017"/>
        </w:numPr>
      </w:pPr>
      <w:r>
        <w:t xml:space="preserve">Weak organic growth after acquisitions and product revenue.</w:t>
      </w:r>
    </w:p>
    <w:p>
      <w:pPr>
        <w:pStyle w:val="Compact"/>
        <w:numPr>
          <w:ilvl w:val="0"/>
          <w:numId w:val="1017"/>
        </w:numPr>
      </w:pPr>
      <w:r>
        <w:t xml:space="preserve">Slower Financial Services growth.</w:t>
      </w:r>
    </w:p>
    <w:p>
      <w:pPr>
        <w:pStyle w:val="Compact"/>
        <w:numPr>
          <w:ilvl w:val="0"/>
          <w:numId w:val="1017"/>
        </w:numPr>
      </w:pPr>
      <w:r>
        <w:t xml:space="preserve">Bookings concentrated in long-duration renewals.</w:t>
      </w:r>
    </w:p>
    <w:p>
      <w:pPr>
        <w:pStyle w:val="Compact"/>
        <w:numPr>
          <w:ilvl w:val="0"/>
          <w:numId w:val="1017"/>
        </w:numPr>
      </w:pPr>
      <w:r>
        <w:t xml:space="preserve">Q3 guidance below Q2.</w:t>
      </w:r>
    </w:p>
    <w:p>
      <w:pPr>
        <w:pStyle w:val="Compact"/>
        <w:numPr>
          <w:ilvl w:val="0"/>
          <w:numId w:val="1017"/>
        </w:numPr>
      </w:pPr>
      <w:r>
        <w:t xml:space="preserve">A cut to the full-year revenue midpoint.</w:t>
      </w:r>
    </w:p>
    <w:p>
      <w:pPr>
        <w:pStyle w:val="Compact"/>
        <w:numPr>
          <w:ilvl w:val="0"/>
          <w:numId w:val="1017"/>
        </w:numPr>
      </w:pPr>
      <w:r>
        <w:t xml:space="preserve">Margin pressure despite Project Leap.</w:t>
      </w:r>
    </w:p>
    <w:p>
      <w:pPr>
        <w:pStyle w:val="Compact"/>
        <w:numPr>
          <w:ilvl w:val="0"/>
          <w:numId w:val="1017"/>
        </w:numPr>
      </w:pPr>
      <w:r>
        <w:t xml:space="preserve">Commentary suggesting that AI productivity is accelerating price compression.</w:t>
      </w:r>
    </w:p>
    <w:bookmarkEnd w:id="26"/>
    <w:bookmarkEnd w:id="27"/>
    <w:bookmarkStart w:id="28" w:name="key-questions-for-management"/>
    <w:p>
      <w:pPr>
        <w:pStyle w:val="Heading2"/>
      </w:pPr>
      <w:r>
        <w:t xml:space="preserve">Key questions for management</w:t>
      </w:r>
    </w:p>
    <w:p>
      <w:pPr>
        <w:pStyle w:val="Compact"/>
        <w:numPr>
          <w:ilvl w:val="0"/>
          <w:numId w:val="1018"/>
        </w:numPr>
      </w:pPr>
      <w:r>
        <w:t xml:space="preserve">How much of Q2 growth was organic services growth after acquisitions and third-party products?</w:t>
      </w:r>
    </w:p>
    <w:p>
      <w:pPr>
        <w:pStyle w:val="Compact"/>
        <w:numPr>
          <w:ilvl w:val="0"/>
          <w:numId w:val="1018"/>
        </w:numPr>
      </w:pPr>
      <w:r>
        <w:t xml:space="preserve">What percentage of the Q1 large-deal TCV is now generating revenue?</w:t>
      </w:r>
    </w:p>
    <w:p>
      <w:pPr>
        <w:pStyle w:val="Compact"/>
        <w:numPr>
          <w:ilvl w:val="0"/>
          <w:numId w:val="1018"/>
        </w:numPr>
      </w:pPr>
      <w:r>
        <w:t xml:space="preserve">Has the discretionary-spending environment improved enough to support the full-year midpoint?</w:t>
      </w:r>
    </w:p>
    <w:p>
      <w:pPr>
        <w:pStyle w:val="Compact"/>
        <w:numPr>
          <w:ilvl w:val="0"/>
          <w:numId w:val="1018"/>
        </w:numPr>
      </w:pPr>
      <w:r>
        <w:t xml:space="preserve">What Q3 sequential growth is embedded in the annual outlook?</w:t>
      </w:r>
    </w:p>
    <w:p>
      <w:pPr>
        <w:pStyle w:val="Compact"/>
        <w:numPr>
          <w:ilvl w:val="0"/>
          <w:numId w:val="1018"/>
        </w:numPr>
      </w:pPr>
      <w:r>
        <w:t xml:space="preserve">Is Financial Services still growing at a double-digit constant-currency rate?</w:t>
      </w:r>
    </w:p>
    <w:p>
      <w:pPr>
        <w:pStyle w:val="Compact"/>
        <w:numPr>
          <w:ilvl w:val="0"/>
          <w:numId w:val="1018"/>
        </w:numPr>
      </w:pPr>
      <w:r>
        <w:t xml:space="preserve">How is underlying Health Sciences services demand trending?</w:t>
      </w:r>
    </w:p>
    <w:p>
      <w:pPr>
        <w:pStyle w:val="Compact"/>
        <w:numPr>
          <w:ilvl w:val="0"/>
          <w:numId w:val="1018"/>
        </w:numPr>
      </w:pPr>
      <w:r>
        <w:t xml:space="preserve">How much Project Leap savings were realized in Q2, and how much was reinvested?</w:t>
      </w:r>
    </w:p>
    <w:p>
      <w:pPr>
        <w:pStyle w:val="Compact"/>
        <w:numPr>
          <w:ilvl w:val="0"/>
          <w:numId w:val="1018"/>
        </w:numPr>
      </w:pPr>
      <w:r>
        <w:t xml:space="preserve">Are AI productivity gains improving gross margin on existing fixed-price contracts?</w:t>
      </w:r>
    </w:p>
    <w:p>
      <w:pPr>
        <w:pStyle w:val="Compact"/>
        <w:numPr>
          <w:ilvl w:val="0"/>
          <w:numId w:val="1018"/>
        </w:numPr>
      </w:pPr>
      <w:r>
        <w:t xml:space="preserve">Is AI causing lower pricing or smaller contract scope in application-development work?</w:t>
      </w:r>
    </w:p>
    <w:p>
      <w:pPr>
        <w:pStyle w:val="Compact"/>
        <w:numPr>
          <w:ilvl w:val="0"/>
          <w:numId w:val="1018"/>
        </w:numPr>
      </w:pPr>
      <w:r>
        <w:t xml:space="preserve">Can management quantify AI-related bookings, revenue or pipeline rather than engagement counts?</w:t>
      </w:r>
    </w:p>
    <w:p>
      <w:pPr>
        <w:pStyle w:val="Compact"/>
        <w:numPr>
          <w:ilvl w:val="0"/>
          <w:numId w:val="1018"/>
        </w:numPr>
      </w:pPr>
      <w:r>
        <w:t xml:space="preserve">Are Astreya and 3Cloud performing in line with the acquisition cases?</w:t>
      </w:r>
    </w:p>
    <w:p>
      <w:pPr>
        <w:pStyle w:val="Compact"/>
        <w:numPr>
          <w:ilvl w:val="0"/>
          <w:numId w:val="1018"/>
        </w:numPr>
      </w:pPr>
      <w:r>
        <w:t xml:space="preserve">Will Cognizant accelerate repurchases at the current valuation?</w:t>
      </w:r>
    </w:p>
    <w:bookmarkEnd w:id="28"/>
    <w:bookmarkStart w:id="29" w:name="bottom-line"/>
    <w:p>
      <w:pPr>
        <w:pStyle w:val="Heading2"/>
      </w:pPr>
      <w:r>
        <w:t xml:space="preserve">Bottom line</w:t>
      </w:r>
    </w:p>
    <w:p>
      <w:pPr>
        <w:pStyle w:val="FirstParagraph"/>
      </w:pPr>
      <w:r>
        <w:t xml:space="preserve">The numerical bar for Q2 is not especially demanding. The more consequential test is whether Cognizant can demonstrate that its strong bookings are converting into</w:t>
      </w:r>
      <w:r>
        <w:t xml:space="preserve"> </w:t>
      </w:r>
      <w:r>
        <w:rPr>
          <w:b/>
          <w:bCs/>
        </w:rPr>
        <w:t xml:space="preserve">organic growth, sustainable margins and cash flow</w:t>
      </w:r>
      <w:r>
        <w:t xml:space="preserve"> </w:t>
      </w:r>
      <w:r>
        <w:t xml:space="preserve">in an environment where IT-services demand remains uneven and AI is challenging traditional labor-based economics.</w:t>
      </w:r>
    </w:p>
    <w:p>
      <w:pPr>
        <w:pStyle w:val="BodyText"/>
      </w:pPr>
      <w:r>
        <w:t xml:space="preserve">The most important combination is:</w:t>
      </w:r>
    </w:p>
    <w:p>
      <w:pPr>
        <w:pStyle w:val="BlockText"/>
      </w:pPr>
      <w:r>
        <w:rPr>
          <w:b/>
          <w:bCs/>
        </w:rPr>
        <w:t xml:space="preserve">Q3 sequential growth + unchanged full-year guidance + stable margins + credible organic AI monetization.</w:t>
      </w:r>
    </w:p>
    <w:p>
      <w:pPr>
        <w:pStyle w:val="FirstParagraph"/>
      </w:pPr>
      <w:r>
        <w:t xml:space="preserve">If Cognizant delivers that, the current sub-9-times earnings valuation may look overly pessimistic. If management reduces the second-half growth outlook or cannot separate organic progress from acquisitions and product resale, the market is likely to continue treating the stock as a structurally challenged value name rather than an AI-enabled turnaround.</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nvestors.cognizant.com/news-and-events/news/news-details/2026/Cognizant-Reports-First-Quarter-2026-Results/?utm_source=openai" TargetMode="External" /><Relationship Type="http://schemas.openxmlformats.org/officeDocument/2006/relationships/hyperlink" Id="rId9" Target="https://investors.cognizant.com/news-and-events/news/news-details/2026/Cognizant-Schedules-Second-Quarter-2026-Earnings-Release-and-Conference-Call/default.aspx?utm_source=openai" TargetMode="External" /><Relationship Type="http://schemas.openxmlformats.org/officeDocument/2006/relationships/hyperlink" Id="rId12" Target="https://www.wipro.com/newsroom/press-releases/2026/wipro-announces-results-for-the-quarter-ended-june-30-2026/?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nvestors.cognizant.com/news-and-events/news/news-details/2026/Cognizant-Reports-First-Quarter-2026-Results/?utm_source=openai" TargetMode="External" /><Relationship Type="http://schemas.openxmlformats.org/officeDocument/2006/relationships/hyperlink" Id="rId9" Target="https://investors.cognizant.com/news-and-events/news/news-details/2026/Cognizant-Schedules-Second-Quarter-2026-Earnings-Release-and-Conference-Call/default.aspx?utm_source=openai" TargetMode="External" /><Relationship Type="http://schemas.openxmlformats.org/officeDocument/2006/relationships/hyperlink" Id="rId12" Target="https://www.wipro.com/newsroom/press-releases/2026/wipro-announces-results-for-the-quarter-ended-june-30-2026/?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2026-07-29T00:33:11Z</dcterms:created>
  <dcterms:modified xsi:type="dcterms:W3CDTF">2026-07-29T00:33:11Z</dcterms:modified>
</cp:coreProperties>
</file>

<file path=docProps/custom.xml><?xml version="1.0" encoding="utf-8"?>
<Properties xmlns="http://schemas.openxmlformats.org/officeDocument/2006/custom-properties" xmlns:vt="http://schemas.openxmlformats.org/officeDocument/2006/docPropsVTypes"/>
</file>