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3b93c52ebc71b74caf6df6303248cb30c4d412"/>
    <w:p>
      <w:pPr>
        <w:pStyle w:val="Heading1"/>
      </w:pPr>
      <w:r>
        <w:t xml:space="preserve">Cognizant (NASDAQ: CTSH) — 2Q26 Earnings Preview</w:t>
      </w:r>
    </w:p>
    <w:p>
      <w:pPr>
        <w:pStyle w:val="BlockText"/>
      </w:pPr>
      <w:r>
        <w:rPr>
          <w:b/>
          <w:bCs/>
        </w:rPr>
        <w:t xml:space="preserve">Date clarification:</w:t>
      </w:r>
      <w:r>
        <w:t xml:space="preserve"> </w:t>
      </w:r>
      <w:r>
        <w:t xml:space="preserve">Cognizant is scheduled to report</w:t>
      </w:r>
      <w:r>
        <w:t xml:space="preserve"> </w:t>
      </w:r>
      <w:r>
        <w:rPr>
          <w:b/>
          <w:bCs/>
        </w:rPr>
        <w:t xml:space="preserve">today, Wednesday, July 29, 2026, before the U.S. market opens</w:t>
      </w:r>
      <w:r>
        <w:t xml:space="preserve">, with its earnings call at</w:t>
      </w:r>
      <w:r>
        <w:t xml:space="preserve"> </w:t>
      </w:r>
      <w:r>
        <w:rPr>
          <w:b/>
          <w:bCs/>
        </w:rPr>
        <w:t xml:space="preserve">8:30 a.m. ET</w:t>
      </w:r>
      <w:r>
        <w:t xml:space="preserve">—not tomorrow. This preview uses information available through the July 28 close and is framed as a pre-results note.</w:t>
      </w:r>
    </w:p>
    <w:bookmarkStart w:id="9" w:name="executive-view"/>
    <w:p>
      <w:pPr>
        <w:pStyle w:val="Heading2"/>
      </w:pPr>
      <w:r>
        <w:t xml:space="preserve">Executive view</w:t>
      </w:r>
    </w:p>
    <w:p>
      <w:pPr>
        <w:pStyle w:val="FirstParagraph"/>
      </w:pPr>
      <w:r>
        <w:t xml:space="preserve">Cognizant enters 2Q26 with a relatively clear near-term setup:</w:t>
      </w:r>
      <w:r>
        <w:t xml:space="preserve"> </w:t>
      </w:r>
      <w:r>
        <w:rPr>
          <w:b/>
          <w:bCs/>
        </w:rPr>
        <w:t xml:space="preserve">revenue should be within the guided range, but the market will focus more heavily on the durability of growth, bookings, margin execution, and management’s full-year outlook.</w:t>
      </w:r>
    </w:p>
    <w:p>
      <w:pPr>
        <w:pStyle w:val="BodyText"/>
      </w:pPr>
      <w:r>
        <w:t xml:space="preserve">The investment case has two competing forces:</w:t>
      </w:r>
    </w:p>
    <w:p>
      <w:pPr>
        <w:pStyle w:val="Compact"/>
        <w:numPr>
          <w:ilvl w:val="0"/>
          <w:numId w:val="1001"/>
        </w:numPr>
      </w:pPr>
      <w:r>
        <w:rPr>
          <w:b/>
          <w:bCs/>
        </w:rPr>
        <w:t xml:space="preserve">Constructive:</w:t>
      </w:r>
      <w:r>
        <w:t xml:space="preserve"> </w:t>
      </w:r>
      <w:r>
        <w:t xml:space="preserve">Financial Services is performing strongly; large-deal bookings accelerated sharply in 1Q; acquisitions should add meaningfully to 2Q and second-half growth; and Project Leap offers a credible route to further operating leverage.</w:t>
      </w:r>
    </w:p>
    <w:p>
      <w:pPr>
        <w:pStyle w:val="Compact"/>
        <w:numPr>
          <w:ilvl w:val="0"/>
          <w:numId w:val="1001"/>
        </w:numPr>
      </w:pPr>
      <w:r>
        <w:rPr>
          <w:b/>
          <w:bCs/>
        </w:rPr>
        <w:t xml:space="preserve">Risk:</w:t>
      </w:r>
      <w:r>
        <w:t xml:space="preserve"> </w:t>
      </w:r>
      <w:r>
        <w:t xml:space="preserve">Organic demand remains uneven, with management having flagged softer discretionary spending, regulatory uncertainty in healthcare, trade-policy headwinds in Products &amp; Resources, and pressure in parts of Communications, Media &amp; Technology. AI productivity also creates a legitimate concern that delivery efficiencies may ultimately pressure industry revenue and pricing.</w:t>
      </w:r>
    </w:p>
    <w:p>
      <w:pPr>
        <w:pStyle w:val="FirstParagraph"/>
      </w:pPr>
      <w:r>
        <w:t xml:space="preserve">The stock’s recent action underscores the skepticism. CTSH closed at</w:t>
      </w:r>
      <w:r>
        <w:t xml:space="preserve"> </w:t>
      </w:r>
      <w:r>
        <w:rPr>
          <w:b/>
          <w:bCs/>
        </w:rPr>
        <w:t xml:space="preserve">$50.33 on July 28</w:t>
      </w:r>
      <w:r>
        <w:t xml:space="preserve">, down about</w:t>
      </w:r>
      <w:r>
        <w:t xml:space="preserve"> </w:t>
      </w:r>
      <w:r>
        <w:rPr>
          <w:b/>
          <w:bCs/>
        </w:rPr>
        <w:t xml:space="preserve">8.7% from $55.12 on April 28</w:t>
      </w:r>
      <w:r>
        <w:t xml:space="preserve">, despite rebounding materially from its late-June low near $39. The bar for a positive reaction is therefore likely not just a modest EPS beat; investors will want confirmation that Cognizant can sustain growth while converting AI-led productivity into margins and new revenue pools.</w:t>
      </w:r>
    </w:p>
    <w:p>
      <w:r>
        <w:pict>
          <v:rect style="width:0;height:1.5pt" o:hralign="center" o:hrstd="t" o:hr="t"/>
        </w:pict>
      </w:r>
    </w:p>
    <w:bookmarkEnd w:id="9"/>
    <w:bookmarkStart w:id="10" w:name="the-key-numbers-going-into-the-print"/>
    <w:p>
      <w:pPr>
        <w:pStyle w:val="Heading2"/>
      </w:pPr>
      <w:r>
        <w:t xml:space="preserve">The key numbers going into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outlook / market expectation</w:t>
            </w:r>
          </w:p>
        </w:tc>
        <w:tc>
          <w:tcPr/>
          <w:p>
            <w:pPr>
              <w:pStyle w:val="Compact"/>
            </w:pPr>
            <w:r>
              <w:t xml:space="preserve">Why it matters</w:t>
            </w:r>
          </w:p>
        </w:tc>
      </w:tr>
      <w:tr>
        <w:tc>
          <w:tcPr/>
          <w:p>
            <w:pPr>
              <w:pStyle w:val="Compact"/>
            </w:pPr>
            <w:r>
              <w:t xml:space="preserve">Revenue</w:t>
            </w:r>
          </w:p>
        </w:tc>
        <w:tc>
          <w:tcPr/>
          <w:p>
            <w:pPr>
              <w:pStyle w:val="Compact"/>
              <w:jc w:val="right"/>
            </w:pPr>
            <m:oMath>
              <m:r>
                <m:t>5.45</m:t>
              </m:r>
              <m:r>
                <m:t>B</m:t>
              </m:r>
              <m:r>
                <m:rPr>
                  <m:sty m:val="p"/>
                </m:rPr>
                <m:t>–</m:t>
              </m:r>
            </m:oMath>
            <w:r>
              <w:rPr>
                <w:b/>
                <w:bCs/>
              </w:rPr>
              <w:t xml:space="preserve">5.52B</w:t>
            </w:r>
            <w:r>
              <w:t xml:space="preserve"> </w:t>
            </w:r>
            <w:r>
              <w:t xml:space="preserve">company guide</w:t>
            </w:r>
          </w:p>
        </w:tc>
        <w:tc>
          <w:tcPr/>
          <w:p>
            <w:pPr>
              <w:pStyle w:val="Compact"/>
            </w:pPr>
            <w:r>
              <w:t xml:space="preserve">Implies 3.8%–5.3% reported growth, or 3.2%–4.7% constant-currency growth</w:t>
            </w:r>
          </w:p>
        </w:tc>
      </w:tr>
      <w:tr>
        <w:tc>
          <w:tcPr/>
          <w:p>
            <w:pPr>
              <w:pStyle w:val="Compact"/>
            </w:pPr>
            <w:r>
              <w:t xml:space="preserve">Revenue consensus</w:t>
            </w:r>
          </w:p>
        </w:tc>
        <w:tc>
          <w:tcPr/>
          <w:p>
            <w:pPr>
              <w:pStyle w:val="Compact"/>
              <w:jc w:val="right"/>
            </w:pPr>
            <w:r>
              <w:rPr>
                <w:b/>
                <w:bCs/>
              </w:rPr>
              <w:t xml:space="preserve">~$5.49B</w:t>
            </w:r>
          </w:p>
        </w:tc>
        <w:tc>
          <w:tcPr/>
          <w:p>
            <w:pPr>
              <w:pStyle w:val="Compact"/>
            </w:pPr>
            <w:r>
              <w:t xml:space="preserve">Roughly the midpoint of company guidance</w:t>
            </w:r>
          </w:p>
        </w:tc>
      </w:tr>
      <w:tr>
        <w:tc>
          <w:tcPr/>
          <w:p>
            <w:pPr>
              <w:pStyle w:val="Compact"/>
            </w:pPr>
            <w:r>
              <w:t xml:space="preserve">Adjusted EPS consensus</w:t>
            </w:r>
          </w:p>
        </w:tc>
        <w:tc>
          <w:tcPr/>
          <w:p>
            <w:pPr>
              <w:pStyle w:val="Compact"/>
              <w:jc w:val="right"/>
            </w:pPr>
            <w:r>
              <w:rPr>
                <w:b/>
                <w:bCs/>
              </w:rPr>
              <w:t xml:space="preserve">~$1.38</w:t>
            </w:r>
          </w:p>
        </w:tc>
        <w:tc>
          <w:tcPr/>
          <w:p>
            <w:pPr>
              <w:pStyle w:val="Compact"/>
            </w:pPr>
            <w:r>
              <w:t xml:space="preserve">EPS must be viewed alongside Project Leap charges and accelerated buybacks</w:t>
            </w:r>
          </w:p>
        </w:tc>
      </w:tr>
      <w:tr>
        <w:tc>
          <w:tcPr/>
          <w:p>
            <w:pPr>
              <w:pStyle w:val="Compact"/>
            </w:pPr>
            <w:r>
              <w:t xml:space="preserve">FY26 CC revenue guide</w:t>
            </w:r>
          </w:p>
        </w:tc>
        <w:tc>
          <w:tcPr/>
          <w:p>
            <w:pPr>
              <w:pStyle w:val="Compact"/>
              <w:jc w:val="right"/>
            </w:pPr>
            <w:r>
              <w:rPr>
                <w:b/>
                <w:bCs/>
              </w:rPr>
              <w:t xml:space="preserve">4.0%–6.5%</w:t>
            </w:r>
          </w:p>
        </w:tc>
        <w:tc>
          <w:tcPr/>
          <w:p>
            <w:pPr>
              <w:pStyle w:val="Compact"/>
            </w:pPr>
            <w:r>
              <w:t xml:space="preserve">The most important forward-looking financial indicator</w:t>
            </w:r>
          </w:p>
        </w:tc>
      </w:tr>
      <w:tr>
        <w:tc>
          <w:tcPr/>
          <w:p>
            <w:pPr>
              <w:pStyle w:val="Compact"/>
            </w:pPr>
            <w:r>
              <w:t xml:space="preserve">FY26 adjusted operating margin</w:t>
            </w:r>
          </w:p>
        </w:tc>
        <w:tc>
          <w:tcPr/>
          <w:p>
            <w:pPr>
              <w:pStyle w:val="Compact"/>
              <w:jc w:val="right"/>
            </w:pPr>
            <w:r>
              <w:rPr>
                <w:b/>
                <w:bCs/>
              </w:rPr>
              <w:t xml:space="preserve">16.0%–16.2%</w:t>
            </w:r>
          </w:p>
        </w:tc>
        <w:tc>
          <w:tcPr/>
          <w:p>
            <w:pPr>
              <w:pStyle w:val="Compact"/>
            </w:pPr>
            <w:r>
              <w:t xml:space="preserve">Raised after Project Leap; execution is central to the story</w:t>
            </w:r>
          </w:p>
        </w:tc>
      </w:tr>
      <w:tr>
        <w:tc>
          <w:tcPr/>
          <w:p>
            <w:pPr>
              <w:pStyle w:val="Compact"/>
            </w:pPr>
            <w:r>
              <w:t xml:space="preserve">FY26 adjusted EPS</w:t>
            </w:r>
          </w:p>
        </w:tc>
        <w:tc>
          <w:tcPr/>
          <w:p>
            <w:pPr>
              <w:pStyle w:val="Compact"/>
              <w:jc w:val="right"/>
            </w:pPr>
            <m:oMath>
              <m:r>
                <m:t>5.63</m:t>
              </m:r>
              <m:r>
                <m:rPr>
                  <m:sty m:val="p"/>
                </m:rPr>
                <m:t>–</m:t>
              </m:r>
            </m:oMath>
            <w:r>
              <w:rPr>
                <w:b/>
                <w:bCs/>
              </w:rPr>
              <w:t xml:space="preserve">5.77</w:t>
            </w:r>
          </w:p>
        </w:tc>
        <w:tc>
          <w:tcPr/>
          <w:p>
            <w:pPr>
              <w:pStyle w:val="Compact"/>
            </w:pPr>
            <w:r>
              <w:t xml:space="preserve">Represents 7%–9% growth in management’s prior framework</w:t>
            </w:r>
          </w:p>
        </w:tc>
      </w:tr>
    </w:tbl>
    <w:p>
      <w:pPr>
        <w:pStyle w:val="BodyText"/>
      </w:pPr>
      <w:r>
        <w:t xml:space="preserve">Management’s 2Q revenue guide includes approximately</w:t>
      </w:r>
      <w:r>
        <w:t xml:space="preserve"> </w:t>
      </w:r>
      <w:r>
        <w:rPr>
          <w:b/>
          <w:bCs/>
        </w:rPr>
        <w:t xml:space="preserve">150 basis points of contribution from acquisitions</w:t>
      </w:r>
      <w:r>
        <w:t xml:space="preserve">, including a partial-quarter contribution from Astreya. That makes the organic-growth discussion especially important: investors will look for evidence that underlying demand—not just M&amp;A and third-party-product revenue—is improving.</w:t>
      </w:r>
    </w:p>
    <w:p>
      <w:r>
        <w:pict>
          <v:rect style="width:0;height:1.5pt" o:hralign="center" o:hrstd="t" o:hr="t"/>
        </w:pict>
      </w:r>
    </w:p>
    <w:bookmarkEnd w:id="10"/>
    <w:bookmarkStart w:id="16" w:name="what-matters-most-this-quarter"/>
    <w:p>
      <w:pPr>
        <w:pStyle w:val="Heading2"/>
      </w:pPr>
      <w:r>
        <w:t xml:space="preserve">What matters most this quarter</w:t>
      </w:r>
    </w:p>
    <w:bookmarkStart w:id="11" w:name="Xa66c25118b8ddff4ff66b9b25d929a358dfee8d"/>
    <w:p>
      <w:pPr>
        <w:pStyle w:val="Heading3"/>
      </w:pPr>
      <w:r>
        <w:t xml:space="preserve">1. Can Cognizant maintain revenue momentum after a strong 1Q?</w:t>
      </w:r>
    </w:p>
    <w:p>
      <w:pPr>
        <w:pStyle w:val="FirstParagraph"/>
      </w:pPr>
      <w:r>
        <w:t xml:space="preserve">In 1Q26, revenue was</w:t>
      </w:r>
      <w:r>
        <w:t xml:space="preserve"> </w:t>
      </w:r>
      <w:r>
        <w:rPr>
          <w:b/>
          <w:bCs/>
        </w:rPr>
        <w:t xml:space="preserve">$5.41B</w:t>
      </w:r>
      <w:r>
        <w:t xml:space="preserve">, up</w:t>
      </w:r>
      <w:r>
        <w:t xml:space="preserve"> </w:t>
      </w:r>
      <w:r>
        <w:rPr>
          <w:b/>
          <w:bCs/>
        </w:rPr>
        <w:t xml:space="preserve">5.8% reported</w:t>
      </w:r>
      <w:r>
        <w:t xml:space="preserve"> </w:t>
      </w:r>
      <w:r>
        <w:t xml:space="preserve">and</w:t>
      </w:r>
      <w:r>
        <w:t xml:space="preserve"> </w:t>
      </w:r>
      <w:r>
        <w:rPr>
          <w:b/>
          <w:bCs/>
        </w:rPr>
        <w:t xml:space="preserve">3.9% in constant currency</w:t>
      </w:r>
      <w:r>
        <w:t xml:space="preserve">. Growth was led by Financial Services, which grew</w:t>
      </w:r>
      <w:r>
        <w:t xml:space="preserve"> </w:t>
      </w:r>
      <w:r>
        <w:rPr>
          <w:b/>
          <w:bCs/>
        </w:rPr>
        <w:t xml:space="preserve">10.2% in constant currency</w:t>
      </w:r>
      <w:r>
        <w:t xml:space="preserve">, while Health Sciences declined</w:t>
      </w:r>
      <w:r>
        <w:t xml:space="preserve"> </w:t>
      </w:r>
      <w:r>
        <w:rPr>
          <w:b/>
          <w:bCs/>
        </w:rPr>
        <w:t xml:space="preserve">0.9%</w:t>
      </w:r>
      <w:r>
        <w:t xml:space="preserve"> </w:t>
      </w:r>
      <w:r>
        <w:t xml:space="preserve">in constant currency and Products &amp; Resources grew only</w:t>
      </w:r>
      <w:r>
        <w:t xml:space="preserve"> </w:t>
      </w:r>
      <w:r>
        <w:rPr>
          <w:b/>
          <w:bCs/>
        </w:rPr>
        <w:t xml:space="preserve">1.1%</w:t>
      </w:r>
      <w:r>
        <w:t xml:space="preserve">.</w:t>
      </w:r>
    </w:p>
    <w:p>
      <w:pPr>
        <w:pStyle w:val="BodyText"/>
      </w:pPr>
      <w:r>
        <w:t xml:space="preserve">For 2Q, the central question is whether the company can deliver toward the upper half of its revenue range despite the cautious demand commentary issued in April.</w:t>
      </w:r>
    </w:p>
    <w:p>
      <w:pPr>
        <w:pStyle w:val="BodyText"/>
      </w:pPr>
      <w:r>
        <w:rPr>
          <w:b/>
          <w:bCs/>
        </w:rPr>
        <w:t xml:space="preserve">Areas to monitor:</w:t>
      </w:r>
    </w:p>
    <w:p>
      <w:pPr>
        <w:pStyle w:val="Compact"/>
        <w:numPr>
          <w:ilvl w:val="0"/>
          <w:numId w:val="1002"/>
        </w:numPr>
      </w:pPr>
      <w:r>
        <w:rPr>
          <w:b/>
          <w:bCs/>
        </w:rPr>
        <w:t xml:space="preserve">Financial Services:</w:t>
      </w:r>
      <w:r>
        <w:t xml:space="preserve"> </w:t>
      </w:r>
      <w:r>
        <w:t xml:space="preserve">Whether double-digit constant-currency growth remains intact across banking, insurance, and capital markets.</w:t>
      </w:r>
    </w:p>
    <w:p>
      <w:pPr>
        <w:pStyle w:val="Compact"/>
        <w:numPr>
          <w:ilvl w:val="0"/>
          <w:numId w:val="1002"/>
        </w:numPr>
      </w:pPr>
      <w:r>
        <w:rPr>
          <w:b/>
          <w:bCs/>
        </w:rPr>
        <w:t xml:space="preserve">Health Sciences:</w:t>
      </w:r>
      <w:r>
        <w:t xml:space="preserve"> </w:t>
      </w:r>
      <w:r>
        <w:t xml:space="preserve">Whether healthcare regulatory uncertainty remains a material drag, and whether underlying services growth continues to offset volatility from third-party-product sales.</w:t>
      </w:r>
    </w:p>
    <w:p>
      <w:pPr>
        <w:pStyle w:val="Compact"/>
        <w:numPr>
          <w:ilvl w:val="0"/>
          <w:numId w:val="1002"/>
        </w:numPr>
      </w:pPr>
      <w:r>
        <w:rPr>
          <w:b/>
          <w:bCs/>
        </w:rPr>
        <w:t xml:space="preserve">Products &amp; Resources:</w:t>
      </w:r>
      <w:r>
        <w:t xml:space="preserve"> </w:t>
      </w:r>
      <w:r>
        <w:t xml:space="preserve">Whether trade and supply-chain uncertainty is delaying discretionary transformation work.</w:t>
      </w:r>
    </w:p>
    <w:p>
      <w:pPr>
        <w:pStyle w:val="Compact"/>
        <w:numPr>
          <w:ilvl w:val="0"/>
          <w:numId w:val="1002"/>
        </w:numPr>
      </w:pPr>
      <w:r>
        <w:rPr>
          <w:b/>
          <w:bCs/>
        </w:rPr>
        <w:t xml:space="preserve">CMT:</w:t>
      </w:r>
      <w:r>
        <w:t xml:space="preserve"> </w:t>
      </w:r>
      <w:r>
        <w:t xml:space="preserve">Whether technology-client demand and AI-related engineering work can offset client-specific pressures in communications and media.</w:t>
      </w:r>
    </w:p>
    <w:p>
      <w:pPr>
        <w:pStyle w:val="FirstParagraph"/>
      </w:pPr>
      <w:r>
        <w:t xml:space="preserve">A revenue result near the midpoint may be adequate, but the stock is more likely to respond to the</w:t>
      </w:r>
      <w:r>
        <w:t xml:space="preserve"> </w:t>
      </w:r>
      <w:r>
        <w:rPr>
          <w:b/>
          <w:bCs/>
        </w:rPr>
        <w:t xml:space="preserve">quality of that growth</w:t>
      </w:r>
      <w:r>
        <w:t xml:space="preserve">—organic services, large-deal ramps, and segment breadth—than to the headline number alone.</w:t>
      </w:r>
    </w:p>
    <w:bookmarkEnd w:id="11"/>
    <w:bookmarkStart w:id="12" w:name="X27fa0a2165c758bfdc1092a5bfad7603036da99"/>
    <w:p>
      <w:pPr>
        <w:pStyle w:val="Heading3"/>
      </w:pPr>
      <w:r>
        <w:t xml:space="preserve">2. Bookings are the leading indicator—and the most important strategic proof point</w:t>
      </w:r>
    </w:p>
    <w:p>
      <w:pPr>
        <w:pStyle w:val="FirstParagraph"/>
      </w:pPr>
      <w:r>
        <w:t xml:space="preserve">Bookings were the standout in 1Q:</w:t>
      </w:r>
    </w:p>
    <w:p>
      <w:pPr>
        <w:pStyle w:val="Compact"/>
        <w:numPr>
          <w:ilvl w:val="0"/>
          <w:numId w:val="1003"/>
        </w:numPr>
      </w:pPr>
      <w:r>
        <w:rPr>
          <w:b/>
          <w:bCs/>
        </w:rPr>
        <w:t xml:space="preserve">1Q bookings rose 21% year over year</w:t>
      </w:r>
    </w:p>
    <w:p>
      <w:pPr>
        <w:pStyle w:val="Compact"/>
        <w:numPr>
          <w:ilvl w:val="0"/>
          <w:numId w:val="1003"/>
        </w:numPr>
      </w:pPr>
      <w:r>
        <w:t xml:space="preserve">Trailing-12-month bookings reached</w:t>
      </w:r>
      <w:r>
        <w:t xml:space="preserve"> </w:t>
      </w:r>
      <w:r>
        <w:rPr>
          <w:b/>
          <w:bCs/>
        </w:rPr>
        <w:t xml:space="preserve">$29.6B</w:t>
      </w:r>
      <w:r>
        <w:t xml:space="preserve">, up</w:t>
      </w:r>
      <w:r>
        <w:t xml:space="preserve"> </w:t>
      </w:r>
      <w:r>
        <w:rPr>
          <w:b/>
          <w:bCs/>
        </w:rPr>
        <w:t xml:space="preserve">11%</w:t>
      </w:r>
    </w:p>
    <w:p>
      <w:pPr>
        <w:pStyle w:val="Compact"/>
        <w:numPr>
          <w:ilvl w:val="0"/>
          <w:numId w:val="1003"/>
        </w:numPr>
      </w:pPr>
      <w:r>
        <w:t xml:space="preserve">Book-to-bill was approximately</w:t>
      </w:r>
      <w:r>
        <w:t xml:space="preserve"> </w:t>
      </w:r>
      <w:r>
        <w:rPr>
          <w:b/>
          <w:bCs/>
        </w:rPr>
        <w:t xml:space="preserve">1.4x</w:t>
      </w:r>
    </w:p>
    <w:p>
      <w:pPr>
        <w:pStyle w:val="Compact"/>
        <w:numPr>
          <w:ilvl w:val="0"/>
          <w:numId w:val="1003"/>
        </w:numPr>
      </w:pPr>
      <w:r>
        <w:t xml:space="preserve">Cognizant signed</w:t>
      </w:r>
      <w:r>
        <w:t xml:space="preserve"> </w:t>
      </w:r>
      <w:r>
        <w:rPr>
          <w:b/>
          <w:bCs/>
        </w:rPr>
        <w:t xml:space="preserve">seven large deals</w:t>
      </w:r>
      <w:r>
        <w:t xml:space="preserve"> </w:t>
      </w:r>
      <w:r>
        <w:t xml:space="preserve">of at least $100M TCV, including</w:t>
      </w:r>
      <w:r>
        <w:t xml:space="preserve"> </w:t>
      </w:r>
      <w:r>
        <w:rPr>
          <w:b/>
          <w:bCs/>
        </w:rPr>
        <w:t xml:space="preserve">one mega-deal</w:t>
      </w:r>
      <w:r>
        <w:t xml:space="preserve"> </w:t>
      </w:r>
      <w:r>
        <w:t xml:space="preserve">above $500M</w:t>
      </w:r>
    </w:p>
    <w:p>
      <w:pPr>
        <w:pStyle w:val="FirstParagraph"/>
      </w:pPr>
      <w:r>
        <w:t xml:space="preserve">Management said large-deal transitions from late 2025 and 1Q26 should begin to contribute more meaningfully during 2Q and 3Q. A second consecutive period of strong bookings—or confirmation that these deals are ramping as planned—would support the case for stronger second-half growth.</w:t>
      </w:r>
    </w:p>
    <w:p>
      <w:pPr>
        <w:pStyle w:val="BodyText"/>
      </w:pPr>
      <w:r>
        <w:t xml:space="preserve">The caveat is that management said</w:t>
      </w:r>
      <w:r>
        <w:t xml:space="preserve"> </w:t>
      </w:r>
      <w:r>
        <w:rPr>
          <w:b/>
          <w:bCs/>
        </w:rPr>
        <w:t xml:space="preserve">annual contract value was flat in 1Q</w:t>
      </w:r>
      <w:r>
        <w:t xml:space="preserve"> </w:t>
      </w:r>
      <w:r>
        <w:t xml:space="preserve">as longer-duration large deals increased in the mix and smaller discretionary projects remained soft. Investors should therefore distinguish between an impressive TCV figure and near-term revenue conversion.</w:t>
      </w:r>
    </w:p>
    <w:p>
      <w:pPr>
        <w:pStyle w:val="BodyText"/>
      </w:pPr>
      <w:r>
        <w:rPr>
          <w:b/>
          <w:bCs/>
        </w:rPr>
        <w:t xml:space="preserve">Bullish signal:</w:t>
      </w:r>
      <w:r>
        <w:t xml:space="preserve"> </w:t>
      </w:r>
      <w:r>
        <w:t xml:space="preserve">sustained double-digit bookings growth, more large deals, and evidence that deal ramps are translating into revenue.</w:t>
      </w:r>
    </w:p>
    <w:p>
      <w:pPr>
        <w:pStyle w:val="BodyText"/>
      </w:pPr>
      <w:r>
        <w:rPr>
          <w:b/>
          <w:bCs/>
        </w:rPr>
        <w:t xml:space="preserve">Bearish signal:</w:t>
      </w:r>
      <w:r>
        <w:t xml:space="preserve"> </w:t>
      </w:r>
      <w:r>
        <w:t xml:space="preserve">a sharp bookings deceleration, weak ACV, or commentary that clients are delaying programs beyond 2026.</w:t>
      </w:r>
    </w:p>
    <w:bookmarkEnd w:id="12"/>
    <w:bookmarkStart w:id="13" w:name="X158996a5aff5950cc9bbbaafe20e00ec8f796cd"/>
    <w:p>
      <w:pPr>
        <w:pStyle w:val="Heading3"/>
      </w:pPr>
      <w:r>
        <w:t xml:space="preserve">3. Project Leap: margin catalyst, restructuring risk, and quality-of-earnings issue</w:t>
      </w:r>
    </w:p>
    <w:p>
      <w:pPr>
        <w:pStyle w:val="FirstParagraph"/>
      </w:pPr>
      <w:r>
        <w:t xml:space="preserve">Project Leap is the major swing factor for the margin narrative. Cognizant expects the program to generate</w:t>
      </w:r>
      <w:r>
        <w:t xml:space="preserve"> </w:t>
      </w:r>
      <m:oMath>
        <m:r>
          <m:t>200</m:t>
        </m:r>
        <m:r>
          <m:t>M</m:t>
        </m:r>
        <m:r>
          <m:rPr>
            <m:sty m:val="p"/>
          </m:rPr>
          <m:t>–</m:t>
        </m:r>
      </m:oMath>
      <w:r>
        <w:rPr>
          <w:b/>
          <w:bCs/>
        </w:rPr>
        <w:t xml:space="preserve">300M of in-year savings during 2026</w:t>
      </w:r>
      <w:r>
        <w:t xml:space="preserve">, with a larger full-year benefit in 2027. Management raised full-year adjusted operating-margin guidance to</w:t>
      </w:r>
      <w:r>
        <w:t xml:space="preserve"> </w:t>
      </w:r>
      <w:r>
        <w:rPr>
          <w:b/>
          <w:bCs/>
        </w:rPr>
        <w:t xml:space="preserve">16.0%–16.2%</w:t>
      </w:r>
      <w:r>
        <w:t xml:space="preserve">, or</w:t>
      </w:r>
      <w:r>
        <w:t xml:space="preserve"> </w:t>
      </w:r>
      <w:r>
        <w:rPr>
          <w:b/>
          <w:bCs/>
        </w:rPr>
        <w:t xml:space="preserve">20–40 bps</w:t>
      </w:r>
      <w:r>
        <w:t xml:space="preserve"> </w:t>
      </w:r>
      <w:r>
        <w:t xml:space="preserve">of year-over-year expansion.</w:t>
      </w:r>
    </w:p>
    <w:p>
      <w:pPr>
        <w:pStyle w:val="BodyText"/>
      </w:pPr>
      <w:r>
        <w:t xml:space="preserve">However, the program also carries expected 2026 costs of</w:t>
      </w:r>
      <w:r>
        <w:t xml:space="preserve"> </w:t>
      </w:r>
      <m:oMath>
        <m:r>
          <m:t>230</m:t>
        </m:r>
        <m:r>
          <m:t>M</m:t>
        </m:r>
        <m:r>
          <m:rPr>
            <m:sty m:val="p"/>
          </m:rPr>
          <m:t>–</m:t>
        </m:r>
      </m:oMath>
      <w:r>
        <w:rPr>
          <w:b/>
          <w:bCs/>
        </w:rPr>
        <w:t xml:space="preserve">320M</w:t>
      </w:r>
      <w:r>
        <w:t xml:space="preserve">, principally severance and related personnel expenses. These costs are excluded from adjusted metrics.</w:t>
      </w:r>
    </w:p>
    <w:p>
      <w:pPr>
        <w:pStyle w:val="BodyText"/>
      </w:pPr>
      <w:r>
        <w:t xml:space="preserve">This makes the earnings release especially sensitive to the distinction between:</w:t>
      </w:r>
    </w:p>
    <w:p>
      <w:pPr>
        <w:pStyle w:val="Compact"/>
        <w:numPr>
          <w:ilvl w:val="0"/>
          <w:numId w:val="1004"/>
        </w:numPr>
      </w:pPr>
      <w:r>
        <w:rPr>
          <w:b/>
          <w:bCs/>
        </w:rPr>
        <w:t xml:space="preserve">GAAP margin and EPS</w:t>
      </w:r>
    </w:p>
    <w:p>
      <w:pPr>
        <w:pStyle w:val="Compact"/>
        <w:numPr>
          <w:ilvl w:val="0"/>
          <w:numId w:val="1004"/>
        </w:numPr>
      </w:pPr>
      <w:r>
        <w:rPr>
          <w:b/>
          <w:bCs/>
        </w:rPr>
        <w:t xml:space="preserve">Adjusted margin and EPS</w:t>
      </w:r>
    </w:p>
    <w:p>
      <w:pPr>
        <w:pStyle w:val="Compact"/>
        <w:numPr>
          <w:ilvl w:val="0"/>
          <w:numId w:val="1004"/>
        </w:numPr>
      </w:pPr>
      <w:r>
        <w:t xml:space="preserve">The amount, timing, and cash impact of Project Leap charges</w:t>
      </w:r>
    </w:p>
    <w:p>
      <w:pPr>
        <w:pStyle w:val="Compact"/>
        <w:numPr>
          <w:ilvl w:val="0"/>
          <w:numId w:val="1004"/>
        </w:numPr>
      </w:pPr>
      <w:r>
        <w:t xml:space="preserve">Whether savings are emerging in gross margin, utilization, and delivery costs</w:t>
      </w:r>
    </w:p>
    <w:p>
      <w:pPr>
        <w:pStyle w:val="FirstParagraph"/>
      </w:pPr>
      <w:r>
        <w:t xml:space="preserve">In 1Q, adjusted operating margin was</w:t>
      </w:r>
      <w:r>
        <w:t xml:space="preserve"> </w:t>
      </w:r>
      <w:r>
        <w:rPr>
          <w:b/>
          <w:bCs/>
        </w:rPr>
        <w:t xml:space="preserve">15.6%</w:t>
      </w:r>
      <w:r>
        <w:t xml:space="preserve">, up 10 bps year over year, but gross margin declined due to higher compensation costs, investments in capacity, and the mix impact of integrated offerings. The 2Q print needs to show that these investment and transition costs are beginning to moderate.</w:t>
      </w:r>
    </w:p>
    <w:bookmarkEnd w:id="13"/>
    <w:bookmarkStart w:id="14" w:name="X92f989e9ea3256864dfec05a7aa6bec372f11ec"/>
    <w:p>
      <w:pPr>
        <w:pStyle w:val="Heading3"/>
      </w:pPr>
      <w:r>
        <w:t xml:space="preserve">4. AI is both the growth opportunity and the valuation debate</w:t>
      </w:r>
    </w:p>
    <w:p>
      <w:pPr>
        <w:pStyle w:val="FirstParagraph"/>
      </w:pPr>
      <w:r>
        <w:t xml:space="preserve">Cognizant is positioning itself as an “AI builder,” emphasizing AI-enabled productivity, enterprise AI integration, and AI-native operations. Management cited more than</w:t>
      </w:r>
      <w:r>
        <w:t xml:space="preserve"> </w:t>
      </w:r>
      <w:r>
        <w:rPr>
          <w:b/>
          <w:bCs/>
        </w:rPr>
        <w:t xml:space="preserve">5,000 AI engagements</w:t>
      </w:r>
      <w:r>
        <w:t xml:space="preserve"> </w:t>
      </w:r>
      <w:r>
        <w:t xml:space="preserve">exiting 1Q, with nearly</w:t>
      </w:r>
      <w:r>
        <w:t xml:space="preserve"> </w:t>
      </w:r>
      <w:r>
        <w:rPr>
          <w:b/>
          <w:bCs/>
        </w:rPr>
        <w:t xml:space="preserve">40% of its software-development work AI-assisted</w:t>
      </w:r>
      <w:r>
        <w:t xml:space="preserve">.</w:t>
      </w:r>
    </w:p>
    <w:p>
      <w:pPr>
        <w:pStyle w:val="BodyText"/>
      </w:pPr>
      <w:r>
        <w:t xml:space="preserve">The company’s strategic argument is that AI will:</w:t>
      </w:r>
    </w:p>
    <w:p>
      <w:pPr>
        <w:pStyle w:val="Compact"/>
        <w:numPr>
          <w:ilvl w:val="0"/>
          <w:numId w:val="1005"/>
        </w:numPr>
      </w:pPr>
      <w:r>
        <w:t xml:space="preserve">Improve delivery productivity and margins;</w:t>
      </w:r>
    </w:p>
    <w:p>
      <w:pPr>
        <w:pStyle w:val="Compact"/>
        <w:numPr>
          <w:ilvl w:val="0"/>
          <w:numId w:val="1005"/>
        </w:numPr>
      </w:pPr>
      <w:r>
        <w:t xml:space="preserve">Help Cognizant win vendor consolidations and legacy-modernization work;</w:t>
      </w:r>
    </w:p>
    <w:p>
      <w:pPr>
        <w:pStyle w:val="Compact"/>
        <w:numPr>
          <w:ilvl w:val="0"/>
          <w:numId w:val="1005"/>
        </w:numPr>
      </w:pPr>
      <w:r>
        <w:t xml:space="preserve">Expand its addressable market through managed AI infrastructure, agentic workflows, and outcome-based services.</w:t>
      </w:r>
    </w:p>
    <w:p>
      <w:pPr>
        <w:pStyle w:val="FirstParagraph"/>
      </w:pPr>
      <w:r>
        <w:t xml:space="preserve">The investor concern is that AI-enabled productivity could reduce billable labor hours more quickly than Cognizant can create new, higher-value work. Management’s answer has been to use AI-infused rate cards, token-metering, fixed-price work, and outcome-based commercial models to retain a share of the productivity gain.</w:t>
      </w:r>
    </w:p>
    <w:p>
      <w:pPr>
        <w:pStyle w:val="BodyText"/>
      </w:pPr>
      <w:r>
        <w:t xml:space="preserve">For this call, investors should listen for</w:t>
      </w:r>
      <w:r>
        <w:t xml:space="preserve"> </w:t>
      </w:r>
      <w:r>
        <w:rPr>
          <w:b/>
          <w:bCs/>
        </w:rPr>
        <w:t xml:space="preserve">commercial evidence</w:t>
      </w:r>
      <w:r>
        <w:t xml:space="preserve">, not just engagement counts:</w:t>
      </w:r>
    </w:p>
    <w:p>
      <w:pPr>
        <w:pStyle w:val="Compact"/>
        <w:numPr>
          <w:ilvl w:val="0"/>
          <w:numId w:val="1006"/>
        </w:numPr>
      </w:pPr>
      <w:r>
        <w:t xml:space="preserve">Are AI programs moving from pilots to scaled production?</w:t>
      </w:r>
    </w:p>
    <w:p>
      <w:pPr>
        <w:pStyle w:val="Compact"/>
        <w:numPr>
          <w:ilvl w:val="0"/>
          <w:numId w:val="1006"/>
        </w:numPr>
      </w:pPr>
      <w:r>
        <w:t xml:space="preserve">Is AI helping win new large deals and vendor consolidations?</w:t>
      </w:r>
    </w:p>
    <w:p>
      <w:pPr>
        <w:pStyle w:val="Compact"/>
        <w:numPr>
          <w:ilvl w:val="0"/>
          <w:numId w:val="1006"/>
        </w:numPr>
      </w:pPr>
      <w:r>
        <w:t xml:space="preserve">Is Cognizant retaining productivity benefits in pricing and margin?</w:t>
      </w:r>
    </w:p>
    <w:p>
      <w:pPr>
        <w:pStyle w:val="Compact"/>
        <w:numPr>
          <w:ilvl w:val="0"/>
          <w:numId w:val="1006"/>
        </w:numPr>
      </w:pPr>
      <w:r>
        <w:t xml:space="preserve">Are outcome-based and transaction-based engagements becoming a measurable mix shift?</w:t>
      </w:r>
    </w:p>
    <w:bookmarkEnd w:id="14"/>
    <w:bookmarkStart w:id="15" w:name="X011989921da236ac7d23c7a76633bb46ca9da8f"/>
    <w:p>
      <w:pPr>
        <w:pStyle w:val="Heading3"/>
      </w:pPr>
      <w:r>
        <w:t xml:space="preserve">5. M&amp;A, capital returns, and balance-sheet execution</w:t>
      </w:r>
    </w:p>
    <w:p>
      <w:pPr>
        <w:pStyle w:val="FirstParagraph"/>
      </w:pPr>
      <w:r>
        <w:t xml:space="preserve">Cognizant acquired Azure-services specialist</w:t>
      </w:r>
      <w:r>
        <w:t xml:space="preserve"> </w:t>
      </w:r>
      <w:r>
        <w:rPr>
          <w:b/>
          <w:bCs/>
        </w:rPr>
        <w:t xml:space="preserve">3Cloud</w:t>
      </w:r>
      <w:r>
        <w:t xml:space="preserve"> </w:t>
      </w:r>
      <w:r>
        <w:t xml:space="preserve">at the beginning of 2026 and announced the acquisition of AI-first managed-services provider</w:t>
      </w:r>
      <w:r>
        <w:t xml:space="preserve"> </w:t>
      </w:r>
      <w:r>
        <w:rPr>
          <w:b/>
          <w:bCs/>
        </w:rPr>
        <w:t xml:space="preserve">Astreya</w:t>
      </w:r>
      <w:r>
        <w:t xml:space="preserve"> </w:t>
      </w:r>
      <w:r>
        <w:t xml:space="preserve">for roughly</w:t>
      </w:r>
      <w:r>
        <w:t xml:space="preserve"> </w:t>
      </w:r>
      <w:r>
        <w:rPr>
          <w:b/>
          <w:bCs/>
        </w:rPr>
        <w:t xml:space="preserve">$600M in cash plus a contingent earn-out</w:t>
      </w:r>
      <w:r>
        <w:t xml:space="preserve">. Astreya is intended to strengthen data-center, network, digital-workplace, and AI-infrastructure capabilities.</w:t>
      </w:r>
    </w:p>
    <w:p>
      <w:pPr>
        <w:pStyle w:val="BodyText"/>
      </w:pPr>
      <w:r>
        <w:t xml:space="preserve">In May, Cognizant also:</w:t>
      </w:r>
    </w:p>
    <w:p>
      <w:pPr>
        <w:pStyle w:val="Compact"/>
        <w:numPr>
          <w:ilvl w:val="0"/>
          <w:numId w:val="1007"/>
        </w:numPr>
      </w:pPr>
      <w:r>
        <w:t xml:space="preserve">Increased its 2026 repurchase target from</w:t>
      </w:r>
      <w:r>
        <w:t xml:space="preserve"> </w:t>
      </w:r>
      <w:r>
        <w:rPr>
          <w:b/>
          <w:bCs/>
        </w:rPr>
        <w:t xml:space="preserve">$1B to $2B</w:t>
      </w:r>
    </w:p>
    <w:p>
      <w:pPr>
        <w:pStyle w:val="Compact"/>
        <w:numPr>
          <w:ilvl w:val="0"/>
          <w:numId w:val="1007"/>
        </w:numPr>
      </w:pPr>
      <w:r>
        <w:t xml:space="preserve">Received a</w:t>
      </w:r>
      <w:r>
        <w:t xml:space="preserve"> </w:t>
      </w:r>
      <w:r>
        <w:rPr>
          <w:b/>
          <w:bCs/>
        </w:rPr>
        <w:t xml:space="preserve">$2B increase</w:t>
      </w:r>
      <w:r>
        <w:t xml:space="preserve"> </w:t>
      </w:r>
      <w:r>
        <w:t xml:space="preserve">in its repurchase authorization</w:t>
      </w:r>
    </w:p>
    <w:p>
      <w:pPr>
        <w:pStyle w:val="Compact"/>
        <w:numPr>
          <w:ilvl w:val="0"/>
          <w:numId w:val="1007"/>
        </w:numPr>
      </w:pPr>
      <w:r>
        <w:t xml:space="preserve">Reported roughly</w:t>
      </w:r>
      <w:r>
        <w:t xml:space="preserve"> </w:t>
      </w:r>
      <w:r>
        <w:rPr>
          <w:b/>
          <w:bCs/>
        </w:rPr>
        <w:t xml:space="preserve">$3.45B</w:t>
      </w:r>
      <w:r>
        <w:t xml:space="preserve"> </w:t>
      </w:r>
      <w:r>
        <w:t xml:space="preserve">of remaining authorization as of May 17</w:t>
      </w:r>
    </w:p>
    <w:p>
      <w:pPr>
        <w:pStyle w:val="Compact"/>
        <w:numPr>
          <w:ilvl w:val="0"/>
          <w:numId w:val="1007"/>
        </w:numPr>
      </w:pPr>
      <w:r>
        <w:t xml:space="preserve">Planned to draw</w:t>
      </w:r>
      <w:r>
        <w:t xml:space="preserve"> </w:t>
      </w:r>
      <w:r>
        <w:rPr>
          <w:b/>
          <w:bCs/>
        </w:rPr>
        <w:t xml:space="preserve">$1B</w:t>
      </w:r>
      <w:r>
        <w:t xml:space="preserve"> </w:t>
      </w:r>
      <w:r>
        <w:t xml:space="preserve">on its revolving credit facility in connection with the Astreya closing and its capital-allocation plans</w:t>
      </w:r>
    </w:p>
    <w:p>
      <w:pPr>
        <w:pStyle w:val="FirstParagraph"/>
      </w:pPr>
      <w:r>
        <w:t xml:space="preserve">This creates an important 2Q cash-flow and balance-sheet checklist. Investors should assess:</w:t>
      </w:r>
    </w:p>
    <w:p>
      <w:pPr>
        <w:pStyle w:val="Compact"/>
        <w:numPr>
          <w:ilvl w:val="0"/>
          <w:numId w:val="1008"/>
        </w:numPr>
      </w:pPr>
      <w:r>
        <w:t xml:space="preserve">Whether the accelerated $1B second-quarter repurchase was completed;</w:t>
      </w:r>
    </w:p>
    <w:p>
      <w:pPr>
        <w:pStyle w:val="Compact"/>
        <w:numPr>
          <w:ilvl w:val="0"/>
          <w:numId w:val="1008"/>
        </w:numPr>
      </w:pPr>
      <w:r>
        <w:t xml:space="preserve">The actual cash and debt position after Astreya;</w:t>
      </w:r>
    </w:p>
    <w:p>
      <w:pPr>
        <w:pStyle w:val="Compact"/>
        <w:numPr>
          <w:ilvl w:val="0"/>
          <w:numId w:val="1008"/>
        </w:numPr>
      </w:pPr>
      <w:r>
        <w:t xml:space="preserve">The updated diluted-share-count outlook;</w:t>
      </w:r>
    </w:p>
    <w:p>
      <w:pPr>
        <w:pStyle w:val="Compact"/>
        <w:numPr>
          <w:ilvl w:val="0"/>
          <w:numId w:val="1008"/>
        </w:numPr>
      </w:pPr>
      <w:r>
        <w:t xml:space="preserve">Whether the company still has flexibility for additional strategic M&amp;A.</w:t>
      </w:r>
    </w:p>
    <w:p>
      <w:pPr>
        <w:pStyle w:val="FirstParagraph"/>
      </w:pPr>
      <w:r>
        <w:t xml:space="preserve">Buybacks can meaningfully support EPS, but investors will want to see that capital returns do not compromise Cognizant’s ability to invest in AI capabilities and execute acquisitions.</w:t>
      </w:r>
    </w:p>
    <w:p>
      <w:r>
        <w:pict>
          <v:rect style="width:0;height:1.5pt" o:hralign="center" o:hrstd="t" o:hr="t"/>
        </w:pict>
      </w:r>
    </w:p>
    <w:bookmarkEnd w:id="15"/>
    <w:bookmarkEnd w:id="16"/>
    <w:bookmarkStart w:id="17" w:name="what-would-constitute-a-favorable-report"/>
    <w:p>
      <w:pPr>
        <w:pStyle w:val="Heading2"/>
      </w:pPr>
      <w:r>
        <w:t xml:space="preserve">What would constitute a favorable report?</w:t>
      </w:r>
    </w:p>
    <w:p>
      <w:pPr>
        <w:pStyle w:val="FirstParagraph"/>
      </w:pPr>
      <w:r>
        <w:t xml:space="preserve">A constructive setup would include:</w:t>
      </w:r>
    </w:p>
    <w:p>
      <w:pPr>
        <w:pStyle w:val="Compact"/>
        <w:numPr>
          <w:ilvl w:val="0"/>
          <w:numId w:val="1009"/>
        </w:numPr>
      </w:pPr>
      <w:r>
        <w:rPr>
          <w:b/>
          <w:bCs/>
        </w:rPr>
        <w:t xml:space="preserve">Revenue at or above the upper half of the</w:t>
      </w:r>
      <w:r>
        <w:rPr>
          <w:b/>
          <w:bCs/>
        </w:rPr>
        <w:t xml:space="preserve"> </w:t>
      </w:r>
      <m:oMath>
        <m:r>
          <m:t>5.45</m:t>
        </m:r>
        <m:r>
          <m:t>B</m:t>
        </m:r>
        <m:r>
          <m:rPr>
            <m:sty m:val="p"/>
          </m:rPr>
          <m:t>–</m:t>
        </m:r>
      </m:oMath>
      <w:r>
        <w:rPr>
          <w:b/>
          <w:bCs/>
        </w:rPr>
        <w:t xml:space="preserve">5.52B range</w:t>
      </w:r>
      <w:r>
        <w:t xml:space="preserve">, with healthy underlying services growth.</w:t>
      </w:r>
    </w:p>
    <w:p>
      <w:pPr>
        <w:pStyle w:val="Compact"/>
        <w:numPr>
          <w:ilvl w:val="0"/>
          <w:numId w:val="1009"/>
        </w:numPr>
      </w:pPr>
      <w:r>
        <w:rPr>
          <w:b/>
          <w:bCs/>
        </w:rPr>
        <w:t xml:space="preserve">Bookings that remain strong</w:t>
      </w:r>
      <w:r>
        <w:t xml:space="preserve">, particularly large-deal activity and evidence that 1Q wins are ramping into revenue.</w:t>
      </w:r>
    </w:p>
    <w:p>
      <w:pPr>
        <w:pStyle w:val="Compact"/>
        <w:numPr>
          <w:ilvl w:val="0"/>
          <w:numId w:val="1009"/>
        </w:numPr>
      </w:pPr>
      <w:r>
        <w:rPr>
          <w:b/>
          <w:bCs/>
        </w:rPr>
        <w:t xml:space="preserve">Reaffirmation of the 4.0%–6.5% full-year constant-currency revenue guide</w:t>
      </w:r>
      <w:r>
        <w:t xml:space="preserve">, ideally with confidence in the midpoint or better.</w:t>
      </w:r>
    </w:p>
    <w:p>
      <w:pPr>
        <w:pStyle w:val="Compact"/>
        <w:numPr>
          <w:ilvl w:val="0"/>
          <w:numId w:val="1009"/>
        </w:numPr>
      </w:pPr>
      <w:r>
        <w:rPr>
          <w:b/>
          <w:bCs/>
        </w:rPr>
        <w:t xml:space="preserve">Reaffirmation of 16.0%–16.2% adjusted operating-margin guidance</w:t>
      </w:r>
      <w:r>
        <w:t xml:space="preserve">, supported by tangible Project Leap savings.</w:t>
      </w:r>
    </w:p>
    <w:p>
      <w:pPr>
        <w:pStyle w:val="Compact"/>
        <w:numPr>
          <w:ilvl w:val="0"/>
          <w:numId w:val="1009"/>
        </w:numPr>
      </w:pPr>
      <w:r>
        <w:t xml:space="preserve">Clear evidence that</w:t>
      </w:r>
      <w:r>
        <w:t xml:space="preserve"> </w:t>
      </w:r>
      <w:r>
        <w:rPr>
          <w:b/>
          <w:bCs/>
        </w:rPr>
        <w:t xml:space="preserve">Financial Services remains strong</w:t>
      </w:r>
      <w:r>
        <w:t xml:space="preserve"> </w:t>
      </w:r>
      <w:r>
        <w:t xml:space="preserve">and that weakness in Health Sciences, Products &amp; Resources, and CMT is stabilizing rather than broadening.</w:t>
      </w:r>
    </w:p>
    <w:p>
      <w:pPr>
        <w:pStyle w:val="Compact"/>
        <w:numPr>
          <w:ilvl w:val="0"/>
          <w:numId w:val="1009"/>
        </w:numPr>
      </w:pPr>
      <w:r>
        <w:t xml:space="preserve">Detail on AI commercialization—especially outcome-based pricing, scaled deployments, and measurable client demand.</w:t>
      </w:r>
    </w:p>
    <w:p>
      <w:pPr>
        <w:pStyle w:val="Compact"/>
        <w:numPr>
          <w:ilvl w:val="0"/>
          <w:numId w:val="1009"/>
        </w:numPr>
      </w:pPr>
      <w:r>
        <w:t xml:space="preserve">Completion or substantial progress toward the planned</w:t>
      </w:r>
      <w:r>
        <w:t xml:space="preserve"> </w:t>
      </w:r>
      <w:r>
        <w:rPr>
          <w:b/>
          <w:bCs/>
        </w:rPr>
        <w:t xml:space="preserve">$2B 2026 buyback</w:t>
      </w:r>
      <w:r>
        <w:t xml:space="preserve">.</w:t>
      </w:r>
    </w:p>
    <w:p>
      <w:r>
        <w:pict>
          <v:rect style="width:0;height:1.5pt" o:hralign="center" o:hrstd="t" o:hr="t"/>
        </w:pict>
      </w:r>
    </w:p>
    <w:bookmarkEnd w:id="17"/>
    <w:bookmarkStart w:id="18" w:name="what-could-disappoint"/>
    <w:p>
      <w:pPr>
        <w:pStyle w:val="Heading2"/>
      </w:pPr>
      <w:r>
        <w:t xml:space="preserve">What could disappoint?</w:t>
      </w:r>
    </w:p>
    <w:p>
      <w:pPr>
        <w:pStyle w:val="FirstParagraph"/>
      </w:pPr>
      <w:r>
        <w:t xml:space="preserve">The main downside risks are:</w:t>
      </w:r>
    </w:p>
    <w:p>
      <w:pPr>
        <w:pStyle w:val="Compact"/>
        <w:numPr>
          <w:ilvl w:val="0"/>
          <w:numId w:val="1010"/>
        </w:numPr>
      </w:pPr>
      <w:r>
        <w:rPr>
          <w:b/>
          <w:bCs/>
        </w:rPr>
        <w:t xml:space="preserve">A full-year revenue-guide reduction</w:t>
      </w:r>
      <w:r>
        <w:t xml:space="preserve">, particularly if management no longer expects discretionary spending to improve in the second half.</w:t>
      </w:r>
    </w:p>
    <w:p>
      <w:pPr>
        <w:pStyle w:val="Compact"/>
        <w:numPr>
          <w:ilvl w:val="0"/>
          <w:numId w:val="1010"/>
        </w:numPr>
      </w:pPr>
      <w:r>
        <w:t xml:space="preserve">Bookings that cool materially after the 1Q surge, or weak commentary on ACV and deal conversion.</w:t>
      </w:r>
    </w:p>
    <w:p>
      <w:pPr>
        <w:pStyle w:val="Compact"/>
        <w:numPr>
          <w:ilvl w:val="0"/>
          <w:numId w:val="1010"/>
        </w:numPr>
      </w:pPr>
      <w:r>
        <w:t xml:space="preserve">Growth driven primarily by acquisitions or third-party product sales rather than core services.</w:t>
      </w:r>
    </w:p>
    <w:p>
      <w:pPr>
        <w:pStyle w:val="Compact"/>
        <w:numPr>
          <w:ilvl w:val="0"/>
          <w:numId w:val="1010"/>
        </w:numPr>
      </w:pPr>
      <w:r>
        <w:t xml:space="preserve">Project Leap charges that exceed expectations, savings that arrive later than planned, or gross-margin pressure that persists.</w:t>
      </w:r>
    </w:p>
    <w:p>
      <w:pPr>
        <w:pStyle w:val="Compact"/>
        <w:numPr>
          <w:ilvl w:val="0"/>
          <w:numId w:val="1010"/>
        </w:numPr>
      </w:pPr>
      <w:r>
        <w:t xml:space="preserve">Additional evidence that AI-related productivity is creating price pressure faster than Cognizant can monetize AI-led services.</w:t>
      </w:r>
    </w:p>
    <w:p>
      <w:pPr>
        <w:pStyle w:val="Compact"/>
        <w:numPr>
          <w:ilvl w:val="0"/>
          <w:numId w:val="1010"/>
        </w:numPr>
      </w:pPr>
      <w:r>
        <w:t xml:space="preserve">A weaker-than-expected cash or leverage profile following Astreya and the stepped-up repurchase program.</w:t>
      </w:r>
    </w:p>
    <w:p>
      <w:r>
        <w:pict>
          <v:rect style="width:0;height:1.5pt" o:hralign="center" o:hrstd="t" o:hr="t"/>
        </w:pict>
      </w:r>
    </w:p>
    <w:bookmarkEnd w:id="18"/>
    <w:bookmarkStart w:id="19" w:name="questions-for-the-earnings-call"/>
    <w:p>
      <w:pPr>
        <w:pStyle w:val="Heading2"/>
      </w:pPr>
      <w:r>
        <w:t xml:space="preserve">Questions for the earnings call</w:t>
      </w:r>
    </w:p>
    <w:p>
      <w:pPr>
        <w:pStyle w:val="Compact"/>
        <w:numPr>
          <w:ilvl w:val="0"/>
          <w:numId w:val="1011"/>
        </w:numPr>
      </w:pPr>
      <w:r>
        <w:rPr>
          <w:b/>
          <w:bCs/>
        </w:rPr>
        <w:t xml:space="preserve">How much of 2Q growth came from 3Cloud, Astreya, and third-party products, versus organic services?</w:t>
      </w:r>
    </w:p>
    <w:p>
      <w:pPr>
        <w:pStyle w:val="Compact"/>
        <w:numPr>
          <w:ilvl w:val="0"/>
          <w:numId w:val="1011"/>
        </w:numPr>
      </w:pPr>
      <w:r>
        <w:rPr>
          <w:b/>
          <w:bCs/>
        </w:rPr>
        <w:t xml:space="preserve">Did Financial Services remain at or near double-digit constant-currency growth?</w:t>
      </w:r>
    </w:p>
    <w:p>
      <w:pPr>
        <w:pStyle w:val="Compact"/>
        <w:numPr>
          <w:ilvl w:val="0"/>
          <w:numId w:val="1011"/>
        </w:numPr>
      </w:pPr>
      <w:r>
        <w:rPr>
          <w:b/>
          <w:bCs/>
        </w:rPr>
        <w:t xml:space="preserve">How did 2Q bookings, large-deal TCV, and ACV compare with the exceptionally strong 1Q?</w:t>
      </w:r>
    </w:p>
    <w:p>
      <w:pPr>
        <w:pStyle w:val="Compact"/>
        <w:numPr>
          <w:ilvl w:val="0"/>
          <w:numId w:val="1011"/>
        </w:numPr>
      </w:pPr>
      <w:r>
        <w:rPr>
          <w:b/>
          <w:bCs/>
        </w:rPr>
        <w:t xml:space="preserve">Are large-deal transitions progressing on schedule, and when should their revenue contribution peak?</w:t>
      </w:r>
    </w:p>
    <w:p>
      <w:pPr>
        <w:pStyle w:val="Compact"/>
        <w:numPr>
          <w:ilvl w:val="0"/>
          <w:numId w:val="1011"/>
        </w:numPr>
      </w:pPr>
      <w:r>
        <w:rPr>
          <w:b/>
          <w:bCs/>
        </w:rPr>
        <w:t xml:space="preserve">Has the demand environment changed since April—particularly for discretionary spending and the second-half outlook?</w:t>
      </w:r>
    </w:p>
    <w:p>
      <w:pPr>
        <w:pStyle w:val="Compact"/>
        <w:numPr>
          <w:ilvl w:val="0"/>
          <w:numId w:val="1011"/>
        </w:numPr>
      </w:pPr>
      <w:r>
        <w:rPr>
          <w:b/>
          <w:bCs/>
        </w:rPr>
        <w:t xml:space="preserve">What Project Leap charges were recognized in 2Q, what savings have been realized, and what is the expected 2027 run-rate benefit?</w:t>
      </w:r>
    </w:p>
    <w:p>
      <w:pPr>
        <w:pStyle w:val="Compact"/>
        <w:numPr>
          <w:ilvl w:val="0"/>
          <w:numId w:val="1011"/>
        </w:numPr>
      </w:pPr>
      <w:r>
        <w:rPr>
          <w:b/>
          <w:bCs/>
        </w:rPr>
        <w:t xml:space="preserve">How is AI changing pricing, contract structure, and margin realization in actual client engagements?</w:t>
      </w:r>
    </w:p>
    <w:p>
      <w:pPr>
        <w:pStyle w:val="Compact"/>
        <w:numPr>
          <w:ilvl w:val="0"/>
          <w:numId w:val="1011"/>
        </w:numPr>
      </w:pPr>
      <w:r>
        <w:rPr>
          <w:b/>
          <w:bCs/>
        </w:rPr>
        <w:t xml:space="preserve">What was the 2Q repurchase amount, and what is the post-Astreya cash/debt position?</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CTSH’s 2Q26 report is primarily a test of whether Cognizant can turn strong bookings, acquisitions, and AI positioning into</w:t>
      </w:r>
      <w:r>
        <w:t xml:space="preserve"> </w:t>
      </w:r>
      <w:r>
        <w:rPr>
          <w:b/>
          <w:bCs/>
        </w:rPr>
        <w:t xml:space="preserve">durable organic growth and expanding margins</w:t>
      </w:r>
      <w:r>
        <w:t xml:space="preserve">. The company has credible catalysts: Financial Services momentum, a large-deal pipeline, M&amp;A contribution, Project Leap savings, and substantial buyback support.</w:t>
      </w:r>
    </w:p>
    <w:p>
      <w:pPr>
        <w:pStyle w:val="BodyText"/>
      </w:pPr>
      <w:r>
        <w:t xml:space="preserve">But the market remains unconvinced that the company can fully offset uneven discretionary demand and AI-related pricing risk. Accordingly,</w:t>
      </w:r>
      <w:r>
        <w:t xml:space="preserve"> </w:t>
      </w:r>
      <w:r>
        <w:rPr>
          <w:b/>
          <w:bCs/>
        </w:rPr>
        <w:t xml:space="preserve">guidance confidence, bookings quality, organic-growth composition, and the credibility of Project Leap savings should matter more than a narrow quarterly EPS beat or miss.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2026-07-29T00:32:45Z</dcterms:created>
  <dcterms:modified xsi:type="dcterms:W3CDTF">2026-07-29T00:32:45Z</dcterms:modified>
</cp:coreProperties>
</file>

<file path=docProps/custom.xml><?xml version="1.0" encoding="utf-8"?>
<Properties xmlns="http://schemas.openxmlformats.org/officeDocument/2006/custom-properties" xmlns:vt="http://schemas.openxmlformats.org/officeDocument/2006/docPropsVTypes"/>
</file>