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tsh-earnings-predictions--2026-07-29"/>
    <w:p>
      <w:pPr>
        <w:pStyle w:val="Heading1"/>
      </w:pPr>
      <w:r>
        <w:t xml:space="preserve">CTSH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CTSH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~$5.50B vs. cons $5.487B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CTSH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~$1.42 vs. cons $1.378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CTSH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Bookings/ACV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ACV modestly positive vs. flat in Q1; TTM bookings ~$29-30B vs. cons $29.3B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CTSH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~$5.55-5.65B vs. cons $5.493B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CTSH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maintained +4.0%-+6.5% CC vs. cons $22.289B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CTSH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EPS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maintained</w:t>
            </w:r>
            <w:r>
              <w:t xml:space="preserve"> </w:t>
            </w:r>
            <m:oMath>
              <m:r>
                <m:t>5.63</m:t>
              </m:r>
              <m:r>
                <m:rPr>
                  <m:sty m:val="p"/>
                </m:rPr>
                <m:t>−</m:t>
              </m:r>
            </m:oMath>
            <w:r>
              <w:t xml:space="preserve">5.77 vs. cons $5.704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CTSH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Demand tone / ACV (Forward)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ACV modestly positive; H2 recovery on track; discretionary still 1-2 quarters away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CTSH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CTSH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-5.0% (FADE)</w:t>
            </w:r>
          </w:p>
        </w:tc>
        <w:tc>
          <w:tcPr/>
          <w:p>
            <w:pPr>
              <w:pStyle w:val="Compact"/>
            </w:pPr>
            <w:r>
              <w:t xml:space="preserve">FADE — sell-side models implied H2 math as back-end loaded; short covering provides partial floor but does not reverse; estimates drift lower on implicit H2 cut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2026-07-31T21:30:43Z</dcterms:created>
  <dcterms:modified xsi:type="dcterms:W3CDTF">2026-07-31T21:30:43Z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