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CTVA (Corteva) to build a well-grounded earnings preview. Let me start by gathering recent filings, transcripts, and news.Let me read the most recent earnings materials and the year-ago Q2 for comparison.Let me pull the year-ago Q2 (2025Q2) release for the comparison base, plus recent news and stock price.Let me read the year-ago Q2 2025 earnings release for the comparison base.Let me check for any recent news/filings on the separation between the Q1 call and now.Let me read these two recent 8-Ks for the latest separation and restructuring updates.# Corteva (CTVA) — Q2 2026 Earnings Preview</w:t>
      </w:r>
    </w:p>
    <w:bookmarkStart w:id="9" w:name="X4a781420d6dbf087c3b00456e1b0e1f6151632d"/>
    <w:p>
      <w:pPr>
        <w:pStyle w:val="Heading3"/>
      </w:pPr>
      <w:r>
        <w:t xml:space="preserve">Report expected before market open, Thursday July 30, 2026 (2026Q2 earnings call)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Corteva heads into Q2 with two stories running in parallel: (1) a business that is executing well and is on the cusp of a</w:t>
      </w:r>
      <w:r>
        <w:t xml:space="preserve"> </w:t>
      </w:r>
      <w:r>
        <w:rPr>
          <w:b/>
          <w:bCs/>
        </w:rPr>
        <w:t xml:space="preserve">full-year guidance revisit</w:t>
      </w:r>
      <w:r>
        <w:t xml:space="preserve">, and (2) a</w:t>
      </w:r>
      <w:r>
        <w:t xml:space="preserve"> </w:t>
      </w:r>
      <w:r>
        <w:rPr>
          <w:b/>
          <w:bCs/>
        </w:rPr>
        <w:t xml:space="preserve">corporate breakup</w:t>
      </w:r>
      <w:r>
        <w:t xml:space="preserve"> </w:t>
      </w:r>
      <w:r>
        <w:t xml:space="preserve">— the seed/crop-protection split — that is now moving fast and will dominate the narrative into a September 15 Investor Day. The stock has already priced in a lot of good news: CTVA is up roughly</w:t>
      </w:r>
      <w:r>
        <w:t xml:space="preserve"> </w:t>
      </w:r>
      <w:r>
        <w:rPr>
          <w:b/>
          <w:bCs/>
        </w:rPr>
        <w:t xml:space="preserve">34% year-to-date</w:t>
      </w:r>
      <w:r>
        <w:t xml:space="preserve"> </w:t>
      </w:r>
      <w:r>
        <w:t xml:space="preserve">(~</w:t>
      </w:r>
      <m:oMath>
        <m:r>
          <m:t>67.8</m:t>
        </m:r>
        <m:r>
          <m:t>a</m:t>
        </m:r>
        <m:r>
          <m:t>t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a</m:t>
        </m:r>
        <m:r>
          <m:t>r</m:t>
        </m:r>
        <m:r>
          <m:t>t</m:t>
        </m:r>
        <m:r>
          <m:t>o</m:t>
        </m:r>
        <m:r>
          <m:t>f</m:t>
        </m:r>
        <m:r>
          <m:t>J</m:t>
        </m:r>
        <m:r>
          <m:t>a</m:t>
        </m:r>
        <m:r>
          <m:t>n</m:t>
        </m:r>
        <m:r>
          <m:t>u</m:t>
        </m:r>
        <m:r>
          <m:t>a</m:t>
        </m:r>
        <m:r>
          <m:t>r</m:t>
        </m:r>
        <m:r>
          <m:t>y</m:t>
        </m:r>
        <m:r>
          <m:t>t</m:t>
        </m:r>
        <m:r>
          <m:t>o</m:t>
        </m:r>
        <m:r>
          <m:t> </m:t>
        </m:r>
      </m:oMath>
      <w:r>
        <w:t xml:space="preserve">90.5 on July 29) versus a high-single-digit gain for the S&amp;P 500, and trades near 52-week highs. That raises the bar for the print.</w:t>
      </w:r>
    </w:p>
    <w:p>
      <w:r>
        <w:pict>
          <v:rect style="width:0;height:1.5pt" o:hralign="center" o:hrstd="t" o:hr="t"/>
        </w:pict>
      </w:r>
    </w:p>
    <w:bookmarkEnd w:id="10"/>
    <w:bookmarkStart w:id="17" w:name="what-actually-matters-on-this-call"/>
    <w:p>
      <w:pPr>
        <w:pStyle w:val="Heading2"/>
      </w:pPr>
      <w:r>
        <w:t xml:space="preserve">What actually matters on this call</w:t>
      </w:r>
    </w:p>
    <w:bookmarkStart w:id="11" w:name="Xb1446e1c269b833a1641757aedaece3171e4995"/>
    <w:p>
      <w:pPr>
        <w:pStyle w:val="Heading3"/>
      </w:pPr>
      <w:r>
        <w:t xml:space="preserve">1. The full-year guidance decision (the swing factor)</w:t>
      </w:r>
    </w:p>
    <w:p>
      <w:pPr>
        <w:pStyle w:val="FirstParagraph"/>
      </w:pPr>
      <w:r>
        <w:t xml:space="preserve">Management has a well-telegraphed habit of leaving guidance unchanged in May (Q1) and then</w:t>
      </w:r>
      <w:r>
        <w:t xml:space="preserve"> </w:t>
      </w:r>
      <w:r>
        <w:rPr>
          <w:b/>
          <w:bCs/>
        </w:rPr>
        <w:t xml:space="preserve">updating after Q2</w:t>
      </w:r>
      <w:r>
        <w:t xml:space="preserve"> </w:t>
      </w:r>
      <w:r>
        <w:t xml:space="preserve">once the North American season is complete. On the Q1 call, CEO Chuck Magro said the first half was "playing out a little better than expected" and that Q1's strength allowed them to "derisk the second half slightly." CFO David Johnson said the first half should now be up</w:t>
      </w:r>
      <w:r>
        <w:t xml:space="preserve"> </w:t>
      </w:r>
      <w:r>
        <w:rPr>
          <w:b/>
          <w:bCs/>
        </w:rPr>
        <w:t xml:space="preserve">more than the ~7% they had originally modeled</w:t>
      </w:r>
      <w:r>
        <w:t xml:space="preserve">.</w:t>
      </w:r>
    </w:p>
    <w:p>
      <w:pPr>
        <w:pStyle w:val="BodyText"/>
      </w:pPr>
      <w:r>
        <w:t xml:space="preserve">Current FY26 guidance (reaffirmed in May):</w:t>
      </w:r>
    </w:p>
    <w:p>
      <w:pPr>
        <w:pStyle w:val="Compact"/>
        <w:numPr>
          <w:ilvl w:val="0"/>
          <w:numId w:val="1001"/>
        </w:numPr>
      </w:pPr>
      <w:r>
        <w:t xml:space="preserve">**Operating EBITDA:</w:t>
      </w:r>
      <w:r>
        <w:t xml:space="preserve"> </w:t>
      </w:r>
      <m:oMath>
        <m:r>
          <m:t>4.0</m:t>
        </m:r>
        <m:r>
          <m:rPr>
            <m:sty m:val="p"/>
          </m:rPr>
          <m:t>–</m:t>
        </m:r>
        <m:r>
          <m:t>4.2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u</m:t>
        </m:r>
        <m:r>
          <m:t>p</m:t>
        </m:r>
        <m:r>
          <m:t>f</m:t>
        </m:r>
        <m:r>
          <m:t>r</m:t>
        </m:r>
        <m:r>
          <m:t>o</m:t>
        </m:r>
        <m:r>
          <m:t>m</m:t>
        </m:r>
        <m:r>
          <m:t>F</m:t>
        </m:r>
        <m:r>
          <m:t>Y</m:t>
        </m:r>
        <m:sSup>
          <m:e>
            <m:r>
              <m:t>25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 </m:t>
        </m:r>
      </m:oMath>
      <w:r>
        <w:t xml:space="preserve">3.75–3.85B guide)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Operating EBITDA margin: 22–23%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Operating EPS: $3.45–3.70</w:t>
      </w:r>
      <w:r>
        <w:t xml:space="preserve"> </w:t>
      </w:r>
      <w:r>
        <w:t xml:space="preserve">(~7% growth at the midpoint)</w:t>
      </w:r>
    </w:p>
    <w:p>
      <w:pPr>
        <w:pStyle w:val="FirstParagraph"/>
      </w:pPr>
      <w:r>
        <w:rPr>
          <w:b/>
          <w:bCs/>
        </w:rPr>
        <w:t xml:space="preserve">Watch for:</w:t>
      </w:r>
      <w:r>
        <w:t xml:space="preserve"> </w:t>
      </w:r>
      <w:r>
        <w:t xml:space="preserve">a raise, particularly to the low end / midpoint. For context, Corteva raised full-year guidance at Q2 last year on 1H strength. Given the Q1 beat (EBITDA +21% YoY) plus favorable tailwinds management flagged — FX (euro then Brazilian real), better royalty trajectory, slightly favorable tariffs, and a lower tax rate — a bump looks like the base-case market expectation. The offsets they'll weigh: a ~$40M 2H oil/inflation headwind and Latin America uncertainty (see below). With the stock near highs, an in-line print with only a modest raise could be a "sell the news" risk.</w:t>
      </w:r>
    </w:p>
    <w:bookmarkEnd w:id="11"/>
    <w:bookmarkStart w:id="12" w:name="X202b50627faf0c3e3c699ecedfc8499e007058d"/>
    <w:p>
      <w:pPr>
        <w:pStyle w:val="Heading3"/>
      </w:pPr>
      <w:r>
        <w:t xml:space="preserve">2. Read the quarter as a</w:t>
      </w:r>
      <w:r>
        <w:t xml:space="preserve"> </w:t>
      </w:r>
      <w:r>
        <w:rPr>
          <w:i/>
          <w:iCs/>
        </w:rPr>
        <w:t xml:space="preserve">half</w:t>
      </w:r>
      <w:r>
        <w:t xml:space="preserve">, not a quarter</w:t>
      </w:r>
    </w:p>
    <w:p>
      <w:pPr>
        <w:pStyle w:val="FirstParagraph"/>
      </w:pPr>
      <w:r>
        <w:t xml:space="preserve">This is the single most important framing point. Q1 pulled seed volume forward out of Q2 (a timing shift out of Q4'25 and an early-start NA season), so</w:t>
      </w:r>
      <w:r>
        <w:t xml:space="preserve"> </w:t>
      </w:r>
      <w:r>
        <w:rPr>
          <w:b/>
          <w:bCs/>
        </w:rPr>
        <w:t xml:space="preserve">Q2 seed volume comparisons may look optically soft</w:t>
      </w:r>
      <w:r>
        <w:t xml:space="preserve"> </w:t>
      </w:r>
      <w:r>
        <w:t xml:space="preserve">while 1H is what counts. Management explicitly said North America is "a first-half business."</w:t>
      </w:r>
    </w:p>
    <w:p>
      <w:pPr>
        <w:pStyle w:val="BodyText"/>
      </w:pPr>
      <w:r>
        <w:t xml:space="preserve">Year-ago comparison bars (2Q25 / 1H25):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2Q25</w:t>
            </w:r>
          </w:p>
        </w:tc>
        <w:tc>
          <w:tcPr/>
          <w:p>
            <w:pPr>
              <w:pStyle w:val="Compact"/>
            </w:pPr>
            <w:r>
              <w:t xml:space="preserve">1H25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$6.46B (+6%)</w:t>
            </w:r>
          </w:p>
        </w:tc>
        <w:tc>
          <w:tcPr/>
          <w:p>
            <w:pPr>
              <w:pStyle w:val="Compact"/>
            </w:pPr>
            <w:r>
              <w:t xml:space="preserve">$10.87B (+3%)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$2.16B (+13%)</w:t>
            </w:r>
          </w:p>
        </w:tc>
        <w:tc>
          <w:tcPr/>
          <w:p>
            <w:pPr>
              <w:pStyle w:val="Compact"/>
            </w:pPr>
            <w:r>
              <w:t xml:space="preserve">$3.35B (+14%)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$2.20 (+20%)</w:t>
            </w:r>
          </w:p>
        </w:tc>
        <w:tc>
          <w:tcPr/>
          <w:p>
            <w:pPr>
              <w:pStyle w:val="Compact"/>
            </w:pPr>
            <w:r>
              <w:t xml:space="preserve">$3.33 (+22%)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Seed EBITDA</w:t>
            </w:r>
          </w:p>
        </w:tc>
        <w:tc>
          <w:tcPr/>
          <w:p>
            <w:pPr>
              <w:pStyle w:val="Compact"/>
            </w:pPr>
            <w:r>
              <w:t xml:space="preserve">$1.86B (+10%)</w:t>
            </w:r>
          </w:p>
        </w:tc>
        <w:tc>
          <w:tcPr/>
          <w:p>
            <w:pPr>
              <w:pStyle w:val="Compact"/>
            </w:pPr>
            <w:r>
              <w:t xml:space="preserve">$2.71B (+11%)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 EBITDA</w:t>
            </w:r>
          </w:p>
        </w:tc>
        <w:tc>
          <w:tcPr/>
          <w:p>
            <w:pPr>
              <w:pStyle w:val="Compact"/>
            </w:pPr>
            <w:r>
              <w:t xml:space="preserve">$334M (+31%)</w:t>
            </w:r>
          </w:p>
        </w:tc>
        <w:tc>
          <w:tcPr/>
          <w:p>
            <w:pPr>
              <w:pStyle w:val="Compact"/>
            </w:pPr>
            <w:r>
              <w:t xml:space="preserve">$711M (+26%)</w:t>
            </w:r>
          </w:p>
        </w:tc>
      </w:tr>
    </w:tbl>
    <w:p>
      <w:pPr>
        <w:pStyle w:val="BodyText"/>
      </w:pPr>
      <w:r>
        <w:t xml:space="preserve">Q1'26 already ran hot (sales +11% reported / +7% organic, Operating EPS $1.50 vs. $1.13). The key question is whether 1H26 EBITDA holds meaningfully above 1H25's $3.35B despite the tough comps.</w:t>
      </w:r>
    </w:p>
    <w:bookmarkEnd w:id="12"/>
    <w:bookmarkStart w:id="13" w:name="Xcde4be8c79ca3bb9ec42c93c3b6bd948cbf36b9"/>
    <w:p>
      <w:pPr>
        <w:pStyle w:val="Heading3"/>
      </w:pPr>
      <w:r>
        <w:t xml:space="preserve">3. Seed — the royalty-positive inflection</w:t>
      </w:r>
    </w:p>
    <w:p>
      <w:pPr>
        <w:pStyle w:val="FirstParagraph"/>
      </w:pPr>
      <w:r>
        <w:t xml:space="preserve">The structural story is Corteva crossing from royalty-neutral to</w:t>
      </w:r>
      <w:r>
        <w:t xml:space="preserve"> </w:t>
      </w:r>
      <w:r>
        <w:rPr>
          <w:b/>
          <w:bCs/>
        </w:rPr>
        <w:t xml:space="preserve">royalty-positive for the first time in 2026</w:t>
      </w:r>
      <w:r>
        <w:t xml:space="preserve"> </w:t>
      </w:r>
      <w:r>
        <w:t xml:space="preserve">— a self-help margin lever independent of the ag cycle. Net royalty expense fell another ~$30M in Q1, and there are now 100+ independent licensees for PowerCore Enlist corn and Enlist E3 soybeans. Enlist is tracking to ~65% of US soybean acres and is the #1 soybean technology in the US. Also watch the</w:t>
      </w:r>
      <w:r>
        <w:t xml:space="preserve"> </w:t>
      </w:r>
      <w:r>
        <w:rPr>
          <w:b/>
          <w:bCs/>
        </w:rPr>
        <w:t xml:space="preserve">Brazil soybean licensing</w:t>
      </w:r>
      <w:r>
        <w:t xml:space="preserve"> </w:t>
      </w:r>
      <w:r>
        <w:t xml:space="preserve">ramp (trait penetration expected to cross into double digits this year) and continued price-for-value gains (Seed price/mix +3% in Q1).</w:t>
      </w:r>
    </w:p>
    <w:bookmarkEnd w:id="13"/>
    <w:bookmarkStart w:id="14" w:name="X0006596411c75a96eff6d9a7a97d148b2ece8fa"/>
    <w:p>
      <w:pPr>
        <w:pStyle w:val="Heading3"/>
      </w:pPr>
      <w:r>
        <w:t xml:space="preserve">4. Crop Protection — a 2H-weighted, volume-led recovery</w:t>
      </w:r>
    </w:p>
    <w:p>
      <w:pPr>
        <w:pStyle w:val="FirstParagraph"/>
      </w:pPr>
      <w:r>
        <w:t xml:space="preserve">CP is where the second-half acceleration is supposed to show up. Management guided CP volumes to step up from low-single-digit gains in 1H toward high-single/double-digit in 2H, driven by</w:t>
      </w:r>
      <w:r>
        <w:t xml:space="preserve"> </w:t>
      </w:r>
      <w:r>
        <w:rPr>
          <w:b/>
          <w:bCs/>
        </w:rPr>
        <w:t xml:space="preserve">Latin America</w:t>
      </w:r>
      <w:r>
        <w:t xml:space="preserve"> </w:t>
      </w:r>
      <w:r>
        <w:t xml:space="preserve">and a back-half-weighted</w:t>
      </w:r>
      <w:r>
        <w:t xml:space="preserve"> </w:t>
      </w:r>
      <w:r>
        <w:rPr>
          <w:b/>
          <w:bCs/>
        </w:rPr>
        <w:t xml:space="preserve">biologicals</w:t>
      </w:r>
      <w:r>
        <w:t xml:space="preserve"> </w:t>
      </w:r>
      <w:r>
        <w:t xml:space="preserve">portfolio (e.g., Utrisha/BlueN). Pricing remains a modest headwind (low-single-digit declines, mostly LatAm competition). Bigger picture: management thinks 2026 is the</w:t>
      </w:r>
      <w:r>
        <w:t xml:space="preserve"> </w:t>
      </w:r>
      <w:r>
        <w:rPr>
          <w:b/>
          <w:bCs/>
        </w:rPr>
        <w:t xml:space="preserve">first year of industry growth in several</w:t>
      </w:r>
      <w:r>
        <w:t xml:space="preserve">, with early, tentative signs of a cycle inflection — Chinese AI cost inflation, VAT export controls, and a slight slowdown in China→Brazil exports. Any color quantifying that inflection matters for 2027 setup. New products are pushing ~$2B in revenue.</w:t>
      </w:r>
    </w:p>
    <w:bookmarkEnd w:id="14"/>
    <w:bookmarkStart w:id="15" w:name="X312060d4145af3bbf1430eacdec39afa33d8e35"/>
    <w:p>
      <w:pPr>
        <w:pStyle w:val="Heading3"/>
      </w:pPr>
      <w:r>
        <w:t xml:space="preserve">5. The separation — now the dominant catalyst</w:t>
      </w:r>
    </w:p>
    <w:p>
      <w:pPr>
        <w:pStyle w:val="FirstParagraph"/>
      </w:pPr>
      <w:r>
        <w:t xml:space="preserve">This is arguably the biggest reason to own or trade the stock here. Timeline and milestones to track: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On track for a Q4 2026 spin.</w:t>
      </w:r>
      <w:r>
        <w:t xml:space="preserve"> </w:t>
      </w:r>
      <w:r>
        <w:t xml:space="preserve">The seed company will be named</w:t>
      </w:r>
      <w:r>
        <w:t xml:space="preserve"> </w:t>
      </w:r>
      <w:r>
        <w:rPr>
          <w:b/>
          <w:bCs/>
        </w:rPr>
        <w:t xml:space="preserve">Vylor</w:t>
      </w:r>
      <w:r>
        <w:t xml:space="preserve"> </w:t>
      </w:r>
      <w:r>
        <w:t xml:space="preserve">(New Corteva keeps crop protection, with new CEO Luke Kissam, who joined June 1).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Vylor filed its first public Form 10 on ~June 26–29</w:t>
      </w:r>
      <w:r>
        <w:t xml:space="preserve"> </w:t>
      </w:r>
      <w:r>
        <w:t xml:space="preserve">(structured as a reverse spin, with New Corteva as discontinued ops). Post-separation</w:t>
      </w:r>
      <w:r>
        <w:t xml:space="preserve"> </w:t>
      </w:r>
      <w:r>
        <w:rPr>
          <w:b/>
          <w:bCs/>
        </w:rPr>
        <w:t xml:space="preserve">boards for both companies</w:t>
      </w:r>
      <w:r>
        <w:t xml:space="preserve"> </w:t>
      </w:r>
      <w:r>
        <w:t xml:space="preserve">were announced (Magro among directors moving to Vylor).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Capital structure:</w:t>
      </w:r>
      <w:r>
        <w:t xml:space="preserve"> </w:t>
      </w:r>
      <w:r>
        <w:t xml:space="preserve">both entities targeted for investment-grade credit profiles. The Board approved a **</w:t>
      </w:r>
      <m:oMath>
        <m:r>
          <m:t>1.5</m:t>
        </m:r>
        <m:r>
          <m:t>B</m:t>
        </m:r>
        <m:r>
          <m:t>d</m:t>
        </m:r>
        <m:r>
          <m:t>i</m:t>
        </m:r>
        <m:r>
          <m:t>s</m:t>
        </m:r>
        <m:r>
          <m:t>c</m:t>
        </m:r>
        <m:r>
          <m:t>r</m:t>
        </m:r>
        <m:r>
          <m:t>e</m:t>
        </m:r>
        <m:r>
          <m:t>t</m:t>
        </m:r>
        <m:r>
          <m:t>i</m:t>
        </m:r>
        <m:r>
          <m:t>o</m:t>
        </m:r>
        <m:r>
          <m:t>n</m:t>
        </m:r>
        <m:r>
          <m:t>a</m:t>
        </m:r>
        <m:r>
          <m:t>r</m:t>
        </m:r>
        <m:r>
          <m:t>y</m:t>
        </m:r>
        <m:r>
          <m:t>U</m:t>
        </m:r>
        <m:r>
          <m:t>S</m:t>
        </m:r>
        <m:r>
          <m:t>p</m:t>
        </m:r>
        <m:r>
          <m:t>e</m:t>
        </m:r>
        <m:r>
          <m:t>n</m:t>
        </m:r>
        <m:r>
          <m:t>s</m:t>
        </m:r>
        <m:r>
          <m:t>i</m:t>
        </m:r>
        <m:r>
          <m:t>o</m:t>
        </m:r>
        <m:r>
          <m:t>n</m:t>
        </m:r>
        <m:r>
          <m:t>c</m:t>
        </m:r>
        <m:r>
          <m:t>o</m:t>
        </m:r>
        <m:r>
          <m:t>n</m:t>
        </m:r>
        <m:r>
          <m:t>t</m:t>
        </m:r>
        <m:r>
          <m:t>r</m:t>
        </m:r>
        <m:r>
          <m:t>i</m:t>
        </m:r>
        <m:r>
          <m:t>b</m:t>
        </m:r>
        <m:r>
          <m:t>u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 </m:t>
        </m:r>
      </m:oMath>
      <w:r>
        <w:t xml:space="preserve">290M tax benefit) to de-risk New Corteva's balance sheet. Liabilities (incl. pension and legacy EIDP) stay with New Corteva.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Costs:</w:t>
      </w:r>
      <w:r>
        <w:t xml:space="preserve"> </w:t>
      </w:r>
      <w:r>
        <w:t xml:space="preserve">~</w:t>
      </w:r>
      <m:oMath>
        <m:r>
          <m:t>350</m:t>
        </m:r>
        <m:r>
          <m:t>M</m:t>
        </m:r>
        <m:r>
          <m:t>o</m:t>
        </m:r>
        <m:r>
          <m:t>n</m:t>
        </m:r>
        <m:r>
          <m:t>e</m:t>
        </m:r>
        <m:r>
          <m:rPr>
            <m:sty m:val="p"/>
          </m:rPr>
          <m:t>−</m:t>
        </m:r>
        <m:r>
          <m:t>t</m:t>
        </m:r>
        <m:r>
          <m:t>i</m:t>
        </m:r>
        <m:r>
          <m:t>m</m:t>
        </m:r>
        <m:r>
          <m:t>e</m:t>
        </m:r>
        <m:r>
          <m:t>s</m:t>
        </m:r>
        <m:r>
          <m:t>e</m:t>
        </m:r>
        <m:r>
          <m:t>p</m:t>
        </m:r>
        <m:r>
          <m:t>a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c</m:t>
        </m:r>
        <m:r>
          <m:t>o</m:t>
        </m:r>
        <m:r>
          <m:t>s</m:t>
        </m:r>
        <m:r>
          <m:t>t</m:t>
        </m:r>
        <m:r>
          <m:t>s</m:t>
        </m:r>
        <m:r>
          <m:rPr>
            <m:sty m:val="p"/>
          </m:rPr>
          <m:t>(</m:t>
        </m:r>
        <m:r>
          <m:t>m</m:t>
        </m:r>
        <m:r>
          <m:t>a</m:t>
        </m:r>
        <m:r>
          <m:t>j</m:t>
        </m:r>
        <m:r>
          <m:t>o</m:t>
        </m:r>
        <m:r>
          <m:t>r</m:t>
        </m:r>
        <m:r>
          <m:t>i</m:t>
        </m:r>
        <m:r>
          <m:t>t</m:t>
        </m:r>
        <m:r>
          <m:t>y</m:t>
        </m:r>
        <m:r>
          <m:t>i</m:t>
        </m:r>
        <m:r>
          <m:t>n</m:t>
        </m:r>
        <m:r>
          <m:t>2</m:t>
        </m:r>
        <m:r>
          <m:t>H</m:t>
        </m:r>
        <m:r>
          <m:rPr>
            <m:sty m:val="p"/>
          </m:rPr>
          <m:t>)</m:t>
        </m:r>
        <m:r>
          <m:rPr>
            <m:sty m:val="p"/>
          </m:rPr>
          <m:t>;</m:t>
        </m:r>
        <m:r>
          <m:t>n</m:t>
        </m:r>
        <m:r>
          <m:t>e</m:t>
        </m:r>
        <m:r>
          <m:t>t</m:t>
        </m:r>
        <m:r>
          <m:t>d</m:t>
        </m:r>
        <m:r>
          <m:t>i</m:t>
        </m:r>
        <m:r>
          <m:t>s</m:t>
        </m:r>
        <m:r>
          <m:rPr>
            <m:sty m:val="p"/>
          </m:rPr>
          <m:t>−</m:t>
        </m:r>
        <m:r>
          <m:t>s</m:t>
        </m:r>
        <m:r>
          <m:t>y</m:t>
        </m:r>
        <m:r>
          <m:t>n</m:t>
        </m:r>
        <m:r>
          <m:t>e</m:t>
        </m:r>
        <m:r>
          <m:t>r</m:t>
        </m:r>
        <m:r>
          <m:t>g</m:t>
        </m:r>
        <m:r>
          <m:t>i</m:t>
        </m:r>
        <m:r>
          <m:t>e</m:t>
        </m:r>
        <m:r>
          <m:t>s</m:t>
        </m:r>
        <m:r>
          <m:t>p</m:t>
        </m:r>
        <m:r>
          <m:t>r</m:t>
        </m:r>
        <m:r>
          <m:t>e</m:t>
        </m:r>
        <m:r>
          <m:t>v</m:t>
        </m:r>
        <m:r>
          <m:t>i</m:t>
        </m:r>
        <m:r>
          <m:t>o</m:t>
        </m:r>
        <m:r>
          <m:t>u</m:t>
        </m:r>
        <m:r>
          <m:t>s</m:t>
        </m:r>
        <m:r>
          <m:t>l</m:t>
        </m:r>
        <m:r>
          <m:t>y</m:t>
        </m:r>
        <m:r>
          <m:t> </m:t>
        </m:r>
      </m:oMath>
      <w:r>
        <w:t xml:space="preserve">100M now trending better (~$50M in the 2026 guide).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Still to come:</w:t>
      </w:r>
      <w:r>
        <w:t xml:space="preserve"> </w:t>
      </w:r>
      <w:r>
        <w:t xml:space="preserve">headquarters decisions, final capital structure, and the</w:t>
      </w:r>
      <w:r>
        <w:t xml:space="preserve"> </w:t>
      </w:r>
      <w:r>
        <w:rPr>
          <w:b/>
          <w:bCs/>
        </w:rPr>
        <w:t xml:space="preserve">September 15 Investor Day</w:t>
      </w:r>
      <w:r>
        <w:t xml:space="preserve">, where both companies lay out multi-year financial/strategic plans.</w:t>
      </w:r>
    </w:p>
    <w:p>
      <w:pPr>
        <w:pStyle w:val="FirstParagraph"/>
      </w:pPr>
      <w:r>
        <w:rPr>
          <w:b/>
          <w:bCs/>
        </w:rPr>
        <w:t xml:space="preserve">Watch for:</w:t>
      </w:r>
      <w:r>
        <w:t xml:space="preserve"> </w:t>
      </w:r>
      <w:r>
        <w:t xml:space="preserve">any firming of the spin date, when-issued trading timeline, tax-free ruling status, and initial stand-alone leverage/dividend framing. Note separation costs and the $1.5B pension contribution distort GAAP and free cash flow — focus on operating (non-GAAP) metrics and management's underlying ~40–50% FCF conversion target.</w:t>
      </w:r>
    </w:p>
    <w:bookmarkEnd w:id="15"/>
    <w:bookmarkStart w:id="16" w:name="X4f4f2d4c3122682bb9afc2cc512daead9eab288"/>
    <w:p>
      <w:pPr>
        <w:pStyle w:val="Heading3"/>
      </w:pPr>
      <w:r>
        <w:t xml:space="preserve">6. Restructuring — a new line item since Q1</w:t>
      </w:r>
    </w:p>
    <w:p>
      <w:pPr>
        <w:pStyle w:val="FirstParagraph"/>
      </w:pPr>
      <w:r>
        <w:t xml:space="preserve">On</w:t>
      </w:r>
      <w:r>
        <w:t xml:space="preserve"> </w:t>
      </w:r>
      <w:r>
        <w:rPr>
          <w:b/>
          <w:bCs/>
        </w:rPr>
        <w:t xml:space="preserve">June 12</w:t>
      </w:r>
      <w:r>
        <w:t xml:space="preserve">, Corteva raised its Crop Protection Operations Strategy restructuring charges by</w:t>
      </w:r>
      <w:r>
        <w:t xml:space="preserve"> </w:t>
      </w:r>
      <w:r>
        <w:rPr>
          <w:b/>
          <w:bCs/>
        </w:rPr>
        <w:t xml:space="preserve">$100–115M to $750–815M aggregate</w:t>
      </w:r>
      <w:r>
        <w:t xml:space="preserve">, tied to the intended closure of its</w:t>
      </w:r>
      <w:r>
        <w:t xml:space="preserve"> </w:t>
      </w:r>
      <w:r>
        <w:rPr>
          <w:b/>
          <w:bCs/>
        </w:rPr>
        <w:t xml:space="preserve">Asturias, Spain</w:t>
      </w:r>
      <w:r>
        <w:t xml:space="preserve"> </w:t>
      </w:r>
      <w:r>
        <w:t xml:space="preserve">production site and revised Pittsburg, California exit estimates (cash outlay $400–443M; program substantially complete by end-2028). Expect questions on incremental cost savings vs. the $300M run-rate productivity target and whether this pressures near-term GAAP results.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risks--things-that-could-go-wrong"/>
    <w:p>
      <w:pPr>
        <w:pStyle w:val="Heading2"/>
      </w:pPr>
      <w:r>
        <w:t xml:space="preserve">Risks / things that could go wrong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Elevated expectations:</w:t>
      </w:r>
      <w:r>
        <w:t xml:space="preserve"> </w:t>
      </w:r>
      <w:r>
        <w:t xml:space="preserve">~34% YTD run into the print; a mere in-line result may disappoint.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Latin America 2H:</w:t>
      </w:r>
      <w:r>
        <w:t xml:space="preserve"> </w:t>
      </w:r>
      <w:r>
        <w:t xml:space="preserve">high fertilizer/nitrogen prices could shift Brazil acreage (corn vs. soy) and pressure safrinha; management assumes roughly flat safrinha area. Bad-debt/credit risk in LatAm as the season builds (bad debt was ~25% of the ~$100M Q1 SG&amp;A increase).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Oil/energy:</w:t>
      </w:r>
      <w:r>
        <w:t xml:space="preserve"> </w:t>
      </w:r>
      <w:r>
        <w:t xml:space="preserve">a ~$40M 2H headwind is in the guide, weighted to CP inventory turns; persistent high oil could add farmer cost stress.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CP pricing:</w:t>
      </w:r>
      <w:r>
        <w:t xml:space="preserve"> </w:t>
      </w:r>
      <w:r>
        <w:t xml:space="preserve">still negative; the "cycle inflection" is early and mostly a 2027 story, not a 2026 numbers driver.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FX:</w:t>
      </w:r>
      <w:r>
        <w:t xml:space="preserve"> </w:t>
      </w:r>
      <w:r>
        <w:t xml:space="preserve">a help for now (euro in 1H, real in 2H) but a source of volatility.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-for-investors"/>
    <w:p>
      <w:pPr>
        <w:pStyle w:val="Heading2"/>
      </w:pPr>
      <w:r>
        <w:t xml:space="preserve">Bottom line for investors</w:t>
      </w:r>
    </w:p>
    <w:p>
      <w:pPr>
        <w:pStyle w:val="FirstParagraph"/>
      </w:pPr>
      <w:r>
        <w:t xml:space="preserve">Fundamentals are pointed the right way — strong Q1, a royalty-positive inflection, resilient seed pricing, and a 2H CP volume ramp — and the most likely outcome is a</w:t>
      </w:r>
      <w:r>
        <w:t xml:space="preserve"> </w:t>
      </w:r>
      <w:r>
        <w:rPr>
          <w:b/>
          <w:bCs/>
        </w:rPr>
        <w:t xml:space="preserve">full-year guidance raise</w:t>
      </w:r>
      <w:r>
        <w:t xml:space="preserve"> </w:t>
      </w:r>
      <w:r>
        <w:t xml:space="preserve">confirming the "first half better than expected" narrative. But with the stock near highs, the incremental catalyst is less about the Q2 numbers and more about</w:t>
      </w:r>
      <w:r>
        <w:t xml:space="preserve"> </w:t>
      </w:r>
      <w:r>
        <w:rPr>
          <w:b/>
          <w:bCs/>
        </w:rPr>
        <w:t xml:space="preserve">de-risking the second half and advancing the Vylor/New Corteva separation</w:t>
      </w:r>
      <w:r>
        <w:t xml:space="preserve"> </w:t>
      </w:r>
      <w:r>
        <w:t xml:space="preserve">toward the Q4 spin and the September 15 Investor Day. The key things to listen for: (1) magnitude/quality of any guidance raise, (2) LatAm and oil-cost commentary shaping the 2H, and (3) hard details on separation timing, capital structure, and stand-alone financial frameworks.</w:t>
      </w:r>
    </w:p>
    <w:p>
      <w:pPr>
        <w:pStyle w:val="BodyText"/>
      </w:pPr>
      <w:r>
        <w:rPr>
          <w:i/>
          <w:iCs/>
        </w:rPr>
        <w:t xml:space="preserve">Note: figures above are drawn from Corteva's Q1 2026 earnings call/release, the Q2 2025 release (the year-ago comparison), recent 8-K disclosures (June 2026 separation and restructuring updates), and market prices through July 29, 2026. Consensus estimates were not available in the sources reviewed; comparisons reference company guidance and prior-year actuals rather than Street consensus.</w:t>
      </w:r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2026-07-29T20:26:36Z</dcterms:created>
  <dcterms:modified xsi:type="dcterms:W3CDTF">2026-07-29T20:26:36Z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