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orteva-ctva-2026-q2-earnings-preview"/>
    <w:p>
      <w:pPr>
        <w:pStyle w:val="Heading1"/>
      </w:pPr>
      <w:r>
        <w:t xml:space="preserve">Corteva (CTVA) 2026 Q2 Earnings Preview</w:t>
      </w:r>
    </w:p>
    <w:p>
      <w:pPr>
        <w:pStyle w:val="FirstParagraph"/>
      </w:pPr>
      <w:r>
        <w:rPr>
          <w:b/>
          <w:bCs/>
        </w:rPr>
        <w:t xml:space="preserve">Report:</w:t>
      </w:r>
      <w:r>
        <w:t xml:space="preserve"> </w:t>
      </w:r>
      <w:r>
        <w:t xml:space="preserve">Thursday, July 30, 2026, after market close</w:t>
      </w:r>
      <w:r>
        <w:br/>
      </w:r>
      <w:r>
        <w:rPr>
          <w:b/>
          <w:bCs/>
        </w:rPr>
        <w:t xml:space="preserve">Earnings call:</w:t>
      </w:r>
      <w:r>
        <w:t xml:space="preserve"> </w:t>
      </w:r>
      <w:r>
        <w:t xml:space="preserve">Friday, July 31, at 9:00 a.m. ET (</w:t>
      </w:r>
      <w:hyperlink r:id="rId9">
        <w:r>
          <w:rPr>
            <w:rStyle w:val="Hyperlink"/>
          </w:rPr>
          <w:t xml:space="preserve">corteva.com</w:t>
        </w:r>
      </w:hyperlink>
      <w:r>
        <w:t xml:space="preserve">)</w:t>
      </w:r>
      <w:r>
        <w:br/>
      </w:r>
      <w:r>
        <w:rPr>
          <w:b/>
          <w:bCs/>
        </w:rPr>
        <w:t xml:space="preserve">Share price:</w:t>
      </w:r>
      <w:r>
        <w:t xml:space="preserve"> </w:t>
      </w:r>
      <w:r>
        <w:t xml:space="preserve">$90.80 as of July 29</w:t>
      </w:r>
      <w:r>
        <w:br/>
      </w:r>
      <w:r>
        <w:rPr>
          <w:b/>
          <w:bCs/>
        </w:rPr>
        <w:t xml:space="preserve">YTD performance:</w:t>
      </w:r>
      <w:r>
        <w:t xml:space="preserve"> </w:t>
      </w:r>
      <w:r>
        <w:t xml:space="preserve">approximately</w:t>
      </w:r>
      <w:r>
        <w:t xml:space="preserve"> </w:t>
      </w:r>
      <w:r>
        <w:rPr>
          <w:b/>
          <w:bCs/>
        </w:rPr>
        <w:t xml:space="preserve">+34%</w:t>
      </w:r>
    </w:p>
    <w:bookmarkStart w:id="12" w:name="investment-view-going-into-the-report"/>
    <w:p>
      <w:pPr>
        <w:pStyle w:val="Heading2"/>
      </w:pPr>
      <w:r>
        <w:t xml:space="preserve">Investment view going into the report</w:t>
      </w:r>
    </w:p>
    <w:p>
      <w:pPr>
        <w:pStyle w:val="FirstParagraph"/>
      </w:pPr>
      <w:r>
        <w:t xml:space="preserve">This is less a quarter about whether Corteva can clear a relatively modest Q2 earnings estimate and more a test of whether management can</w:t>
      </w:r>
      <w:r>
        <w:t xml:space="preserve"> </w:t>
      </w:r>
      <w:r>
        <w:rPr>
          <w:b/>
          <w:bCs/>
        </w:rPr>
        <w:t xml:space="preserve">raise full-year guidance, validate first-half Seed execution, and further de-risk the fourth-quarter separation of Vylor from the Crop Protection business</w:t>
      </w:r>
      <w:r>
        <w:t xml:space="preserve">.</w:t>
      </w:r>
    </w:p>
    <w:p>
      <w:pPr>
        <w:pStyle w:val="BodyText"/>
      </w:pPr>
      <w:r>
        <w:t xml:space="preserve">The setup is constructive:</w:t>
      </w:r>
    </w:p>
    <w:p>
      <w:pPr>
        <w:pStyle w:val="Compact"/>
        <w:numPr>
          <w:ilvl w:val="0"/>
          <w:numId w:val="1001"/>
        </w:numPr>
      </w:pPr>
      <w:r>
        <w:t xml:space="preserve">Q1 materially exceeded expectations, with operating EPS of $1.50, operating EBITDA growth of 21%, and more than 200 basis points of margin expansion.</w:t>
      </w:r>
    </w:p>
    <w:p>
      <w:pPr>
        <w:pStyle w:val="Compact"/>
        <w:numPr>
          <w:ilvl w:val="0"/>
          <w:numId w:val="1001"/>
        </w:numPr>
      </w:pPr>
      <w:r>
        <w:t xml:space="preserve">Management said in May that the year was developing somewhat better than initially expected but deliberately waited for the North American planting season to finish before revisiting guidance.</w:t>
      </w:r>
    </w:p>
    <w:p>
      <w:pPr>
        <w:pStyle w:val="Compact"/>
        <w:numPr>
          <w:ilvl w:val="0"/>
          <w:numId w:val="1001"/>
        </w:numPr>
      </w:pPr>
      <w:r>
        <w:t xml:space="preserve">USDA's June acreage report—95.3 million corn acres and 85.4 million soybean acres—was close to Corteva's planning assumptions, reducing acreage-related downside risk. (</w:t>
      </w:r>
      <w:hyperlink r:id="rId10">
        <w:r>
          <w:rPr>
            <w:rStyle w:val="Hyperlink"/>
          </w:rPr>
          <w:t xml:space="preserve">nass.usda.gov</w:t>
        </w:r>
      </w:hyperlink>
      <w:r>
        <w:t xml:space="preserve">)</w:t>
      </w:r>
    </w:p>
    <w:p>
      <w:pPr>
        <w:pStyle w:val="Compact"/>
        <w:numPr>
          <w:ilvl w:val="0"/>
          <w:numId w:val="1001"/>
        </w:numPr>
      </w:pPr>
      <w:r>
        <w:t xml:space="preserve">Currency, royalties, productivity, and tariffs were trending favorably at the Q1 call, partly offset by higher oil-related costs.</w:t>
      </w:r>
    </w:p>
    <w:p>
      <w:pPr>
        <w:pStyle w:val="FirstParagraph"/>
      </w:pPr>
      <w:r>
        <w:t xml:space="preserve">The complication is valuation. CTVA has rallied to a new high in advance of the report and trades at roughly</w:t>
      </w:r>
      <w:r>
        <w:t xml:space="preserve"> </w:t>
      </w:r>
      <w:r>
        <w:rPr>
          <w:b/>
          <w:bCs/>
        </w:rPr>
        <w:t xml:space="preserve">24x the current</w:t>
      </w:r>
      <w:r>
        <w:rPr>
          <w:b/>
          <w:bCs/>
        </w:rPr>
        <w:t xml:space="preserve"> </w:t>
      </w:r>
      <m:oMath>
        <m:r>
          <m:t>3.72</m:t>
        </m:r>
        <m:r>
          <m:t>f</m:t>
        </m:r>
        <m:r>
          <m:t>u</m:t>
        </m:r>
        <m:r>
          <m:t>l</m:t>
        </m:r>
        <m:r>
          <m:t>l</m:t>
        </m:r>
        <m:r>
          <m:rPr>
            <m:sty m:val="p"/>
          </m:rPr>
          <m:t>−</m:t>
        </m:r>
        <m:r>
          <m:t>y</m:t>
        </m:r>
        <m:r>
          <m:t>e</m:t>
        </m:r>
        <m:r>
          <m:t>a</m:t>
        </m:r>
        <m:r>
          <m:t>r</m:t>
        </m:r>
        <m:r>
          <m:t>E</m:t>
        </m:r>
        <m:r>
          <m:t>P</m:t>
        </m:r>
        <m:r>
          <m:t>S</m:t>
        </m:r>
        <m:r>
          <m:t>c</m:t>
        </m:r>
        <m:r>
          <m:t>o</m:t>
        </m:r>
        <m:r>
          <m:t>n</m:t>
        </m:r>
        <m:r>
          <m:t>s</m:t>
        </m:r>
        <m:r>
          <m:t>e</m:t>
        </m:r>
        <m:r>
          <m:t>n</m:t>
        </m:r>
        <m:r>
          <m:t>s</m:t>
        </m:r>
        <m:r>
          <m:t>u</m:t>
        </m:r>
        <m:r>
          <m:t>s</m:t>
        </m:r>
        <m:r>
          <m:rPr>
            <m:sty m:val="p"/>
          </m:rPr>
          <m:t>*</m:t>
        </m:r>
        <m:r>
          <m:rPr>
            <m:sty m:val="p"/>
          </m:rPr>
          <m:t>*</m:t>
        </m:r>
        <m:r>
          <m:rPr>
            <m:sty m:val="p"/>
          </m:rPr>
          <m:t>.</m:t>
        </m:r>
        <m:r>
          <m:t>P</m:t>
        </m:r>
        <m:r>
          <m:t>u</m:t>
        </m:r>
        <m:r>
          <m:t>b</m:t>
        </m:r>
        <m:r>
          <m:t>l</m:t>
        </m:r>
        <m:r>
          <m:t>i</m:t>
        </m:r>
        <m:r>
          <m:t>c</m:t>
        </m:r>
        <m:r>
          <m:t>e</m:t>
        </m:r>
        <m:r>
          <m:t>s</m:t>
        </m:r>
        <m:r>
          <m:t>t</m:t>
        </m:r>
        <m:r>
          <m:t>i</m:t>
        </m:r>
        <m:r>
          <m:t>m</m:t>
        </m:r>
        <m:r>
          <m:t>a</m:t>
        </m:r>
        <m:r>
          <m:t>t</m:t>
        </m:r>
        <m:r>
          <m:t>e</m:t>
        </m:r>
        <m:r>
          <m:t>f</m:t>
        </m:r>
        <m:r>
          <m:t>e</m:t>
        </m:r>
        <m:r>
          <m:t>e</m:t>
        </m:r>
        <m:r>
          <m:t>d</m:t>
        </m:r>
        <m:r>
          <m:t>s</m:t>
        </m:r>
        <m:r>
          <m:t>p</m:t>
        </m:r>
        <m:r>
          <m:t>u</m:t>
        </m:r>
        <m:r>
          <m:t>t</m:t>
        </m:r>
        <m:r>
          <m:t>Q</m:t>
        </m:r>
        <m:r>
          <m:t>2</m:t>
        </m:r>
        <m:r>
          <m:t>o</m:t>
        </m:r>
        <m:r>
          <m:t>p</m:t>
        </m:r>
        <m:r>
          <m:t>e</m:t>
        </m:r>
        <m:r>
          <m:t>r</m:t>
        </m:r>
        <m:r>
          <m:t>a</m:t>
        </m:r>
        <m:r>
          <m:t>t</m:t>
        </m:r>
        <m:r>
          <m:t>i</m:t>
        </m:r>
        <m:r>
          <m:t>n</m:t>
        </m:r>
        <m:r>
          <m:t>g</m:t>
        </m:r>
        <m:r>
          <m:t>E</m:t>
        </m:r>
        <m:r>
          <m:t>P</m:t>
        </m:r>
        <m:r>
          <m:t>S</m:t>
        </m:r>
        <m:r>
          <m:t>a</m:t>
        </m:r>
        <m:r>
          <m:t>r</m:t>
        </m:r>
        <m:r>
          <m:t>o</m:t>
        </m:r>
        <m:r>
          <m:t>u</m:t>
        </m:r>
        <m:r>
          <m:t>n</m:t>
        </m:r>
        <m:r>
          <m:t>d</m:t>
        </m:r>
        <m:r>
          <m:rPr>
            <m:sty m:val="p"/>
          </m:rPr>
          <m:t>*</m:t>
        </m:r>
        <m:r>
          <m:rPr>
            <m:sty m:val="p"/>
          </m:rPr>
          <m:t>*</m:t>
        </m:r>
      </m:oMath>
      <w:r>
        <w:rPr>
          <w:b/>
          <w:bCs/>
        </w:rPr>
        <w:t xml:space="preserve">2.08</w:t>
      </w:r>
      <w:r>
        <w:t xml:space="preserve">, although other feeds are somewhat higher, and revenue near</w:t>
      </w:r>
      <w:r>
        <w:t xml:space="preserve"> </w:t>
      </w:r>
      <w:r>
        <w:rPr>
          <w:b/>
          <w:bCs/>
        </w:rPr>
        <w:t xml:space="preserve">$6.6 billion</w:t>
      </w:r>
      <w:r>
        <w:t xml:space="preserve">. The year-ago comparison was $6.46 billion of sales and $2.20 of operating EPS. (</w:t>
      </w:r>
      <w:hyperlink r:id="rId11">
        <w:r>
          <w:rPr>
            <w:rStyle w:val="Hyperlink"/>
          </w:rPr>
          <w:t xml:space="preserve">barchart.com</w:t>
        </w:r>
      </w:hyperlink>
      <w:r>
        <w:t xml:space="preserve">)</w:t>
      </w:r>
    </w:p>
    <w:p>
      <w:pPr>
        <w:pStyle w:val="BodyText"/>
      </w:pPr>
      <w:r>
        <w:t xml:space="preserve">At this price, a routine beat accompanied by unchanged guidance may not be sufficient.</w:t>
      </w:r>
    </w:p>
    <w:p>
      <w:r>
        <w:pict>
          <v:rect style="width:0;height:1.5pt" o:hralign="center" o:hrstd="t" o:hr="t"/>
        </w:pict>
      </w:r>
    </w:p>
    <w:bookmarkEnd w:id="12"/>
    <w:bookmarkStart w:id="14" w:name="expectations-and-relevant-comparisons"/>
    <w:p>
      <w:pPr>
        <w:pStyle w:val="Heading2"/>
      </w:pPr>
      <w:r>
        <w:t xml:space="preserve">Expectations and relevant comparisons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Approx. change</w:t>
            </w:r>
          </w:p>
        </w:tc>
      </w:tr>
      <w:tr>
        <w:tc>
          <w:tcPr/>
          <w:p>
            <w:pPr>
              <w:pStyle w:val="Compact"/>
            </w:pPr>
            <w:r>
              <w:t xml:space="preserve">Revenue</w:t>
            </w:r>
          </w:p>
        </w:tc>
        <w:tc>
          <w:tcPr/>
          <w:p>
            <w:pPr>
              <w:pStyle w:val="Compact"/>
              <w:jc w:val="right"/>
            </w:pPr>
            <w:r>
              <w:t xml:space="preserve">~$6.6B</w:t>
            </w:r>
          </w:p>
        </w:tc>
        <w:tc>
          <w:tcPr/>
          <w:p>
            <w:pPr>
              <w:pStyle w:val="Compact"/>
              <w:jc w:val="right"/>
            </w:pPr>
            <w:r>
              <w:t xml:space="preserve">$6.46B</w:t>
            </w:r>
          </w:p>
        </w:tc>
        <w:tc>
          <w:tcPr/>
          <w:p>
            <w:pPr>
              <w:pStyle w:val="Compact"/>
              <w:jc w:val="right"/>
            </w:pPr>
            <w:r>
              <w:t xml:space="preserve">Low-single-digit growth</w:t>
            </w:r>
          </w:p>
        </w:tc>
      </w:tr>
      <w:tr>
        <w:tc>
          <w:tcPr/>
          <w:p>
            <w:pPr>
              <w:pStyle w:val="Compact"/>
            </w:pPr>
            <w:r>
              <w:t xml:space="preserve">Operating EPS</w:t>
            </w:r>
          </w:p>
        </w:tc>
        <w:tc>
          <w:tcPr/>
          <w:p>
            <w:pPr>
              <w:pStyle w:val="Compact"/>
              <w:jc w:val="right"/>
            </w:pPr>
            <w:r>
              <w:t xml:space="preserve">~$2.08 consensus*</w:t>
            </w:r>
          </w:p>
        </w:tc>
        <w:tc>
          <w:tcPr/>
          <w:p>
            <w:pPr>
              <w:pStyle w:val="Compact"/>
              <w:jc w:val="right"/>
            </w:pPr>
            <w:r>
              <w:t xml:space="preserve">$2.20</w:t>
            </w:r>
          </w:p>
        </w:tc>
        <w:tc>
          <w:tcPr/>
          <w:p>
            <w:pPr>
              <w:pStyle w:val="Compact"/>
              <w:jc w:val="right"/>
            </w:pPr>
            <w:r>
              <w:t xml:space="preserve">Modest decline</w:t>
            </w:r>
          </w:p>
        </w:tc>
      </w:tr>
      <w:tr>
        <w:tc>
          <w:tcPr/>
          <w:p>
            <w:pPr>
              <w:pStyle w:val="Compact"/>
            </w:pPr>
            <w:r>
              <w:t xml:space="preserve">FY operating EPS</w:t>
            </w:r>
          </w:p>
        </w:tc>
        <w:tc>
          <w:tcPr/>
          <w:p>
            <w:pPr>
              <w:pStyle w:val="Compact"/>
              <w:jc w:val="right"/>
            </w:pPr>
            <w:r>
              <w:t xml:space="preserve">$3.72 consensus</w:t>
            </w:r>
          </w:p>
        </w:tc>
        <w:tc>
          <w:tcPr/>
          <w:p>
            <w:pPr>
              <w:pStyle w:val="Compact"/>
              <w:jc w:val="right"/>
            </w:pPr>
            <m:oMath>
              <m:r>
                <m:t>3.45</m:t>
              </m:r>
              <m:r>
                <m:rPr>
                  <m:sty m:val="p"/>
                </m:rPr>
                <m:t>–</m:t>
              </m:r>
            </m:oMath>
            <w:r>
              <w:t xml:space="preserve">3.70 company guidance</w:t>
            </w:r>
          </w:p>
        </w:tc>
        <w:tc>
          <w:tcPr/>
          <w:p>
            <w:pPr>
              <w:pStyle w:val="Compact"/>
              <w:jc w:val="right"/>
            </w:pPr>
            <w:r>
              <w:t xml:space="preserve">Slightly above guide</w:t>
            </w:r>
          </w:p>
        </w:tc>
      </w:tr>
      <w:tr>
        <w:tc>
          <w:tcPr/>
          <w:p>
            <w:pPr>
              <w:pStyle w:val="Compact"/>
            </w:pPr>
            <w:r>
              <w:t xml:space="preserve">FY operating EBITDA</w:t>
            </w:r>
          </w:p>
        </w:tc>
        <w:tc>
          <w:tcPr/>
          <w:p>
            <w:pPr>
              <w:pStyle w:val="Compact"/>
              <w:jc w:val="right"/>
            </w:pPr>
            <w:r>
              <w:t xml:space="preserve">—</w:t>
            </w:r>
          </w:p>
        </w:tc>
        <w:tc>
          <w:tcPr/>
          <w:p>
            <w:pPr>
              <w:pStyle w:val="Compact"/>
              <w:jc w:val="right"/>
            </w:pPr>
            <w:r>
              <w:t xml:space="preserve">—</w:t>
            </w:r>
          </w:p>
        </w:tc>
        <w:tc>
          <w:tcPr/>
          <w:p>
            <w:pPr>
              <w:pStyle w:val="Compact"/>
              <w:jc w:val="right"/>
            </w:pPr>
            <w:r>
              <w:t xml:space="preserve">Company guide:</w:t>
            </w:r>
            <w:r>
              <w:t xml:space="preserve"> </w:t>
            </w:r>
            <m:oMath>
              <m:r>
                <m:t>4.0</m:t>
              </m:r>
              <m:r>
                <m:rPr>
                  <m:sty m:val="p"/>
                </m:rPr>
                <m:t>–</m:t>
              </m:r>
            </m:oMath>
            <w:r>
              <w:t xml:space="preserve">4.2B</w:t>
            </w:r>
          </w:p>
        </w:tc>
      </w:tr>
      <w:tr>
        <w:tc>
          <w:tcPr/>
          <w:p>
            <w:pPr>
              <w:pStyle w:val="Compact"/>
            </w:pPr>
            <w:r>
              <w:t xml:space="preserve">FY EBITDA margin</w:t>
            </w:r>
          </w:p>
        </w:tc>
        <w:tc>
          <w:tcPr/>
          <w:p>
            <w:pPr>
              <w:pStyle w:val="Compact"/>
              <w:jc w:val="right"/>
            </w:pPr>
            <w:r>
              <w:t xml:space="preserve">—</w:t>
            </w:r>
          </w:p>
        </w:tc>
        <w:tc>
          <w:tcPr/>
          <w:p>
            <w:pPr>
              <w:pStyle w:val="Compact"/>
              <w:jc w:val="right"/>
            </w:pPr>
            <w:r>
              <w:t xml:space="preserve">—</w:t>
            </w:r>
          </w:p>
        </w:tc>
        <w:tc>
          <w:tcPr/>
          <w:p>
            <w:pPr>
              <w:pStyle w:val="Compact"/>
              <w:jc w:val="right"/>
            </w:pPr>
            <w:r>
              <w:t xml:space="preserve">Company guide: 22%–23%</w:t>
            </w:r>
          </w:p>
        </w:tc>
      </w:tr>
    </w:tbl>
    <w:p>
      <w:pPr>
        <w:pStyle w:val="BodyText"/>
      </w:pPr>
      <w:r>
        <w:t xml:space="preserve">*Public feeds are dispersed, with estimates extending into the low-$2.20s. The estimate source shown above is based on seven contributing estimates. (</w:t>
      </w:r>
      <w:hyperlink r:id="rId13">
        <w:r>
          <w:rPr>
            <w:rStyle w:val="Hyperlink"/>
          </w:rPr>
          <w:t xml:space="preserve">barchart.com</w:t>
        </w:r>
      </w:hyperlink>
      <w:r>
        <w:t xml:space="preserve">)</w:t>
      </w:r>
    </w:p>
    <w:p>
      <w:pPr>
        <w:pStyle w:val="BodyText"/>
      </w:pPr>
      <w:r>
        <w:t xml:space="preserve">The year-over-year EPS comparison understates the quality of the setup. Q1 included early Seed deliveries and a shift of some sales from Q4 2025, so Q2 should naturally look slower. Management has repeatedly advised investors to judge the agriculture business on a</w:t>
      </w:r>
      <w:r>
        <w:t xml:space="preserve"> </w:t>
      </w:r>
      <w:r>
        <w:rPr>
          <w:b/>
          <w:bCs/>
        </w:rPr>
        <w:t xml:space="preserve">half-year basis</w:t>
      </w:r>
      <w:r>
        <w:t xml:space="preserve">, not quarter-to-quarter timing.</w:t>
      </w:r>
    </w:p>
    <w:p>
      <w:pPr>
        <w:pStyle w:val="BodyText"/>
      </w:pPr>
      <w:r>
        <w:t xml:space="preserve">At the current consensus, first-half operating EPS would be approximately</w:t>
      </w:r>
      <w:r>
        <w:t xml:space="preserve"> </w:t>
      </w:r>
      <w:r>
        <w:rPr>
          <w:b/>
          <w:bCs/>
        </w:rPr>
        <w:t xml:space="preserve">$3.58</w:t>
      </w:r>
      <w:r>
        <w:t xml:space="preserve">, compared with $3.33 in the first half of 2025.</w:t>
      </w:r>
    </w:p>
    <w:p>
      <w:r>
        <w:pict>
          <v:rect style="width:0;height:1.5pt" o:hralign="center" o:hrstd="t" o:hr="t"/>
        </w:pict>
      </w:r>
    </w:p>
    <w:bookmarkEnd w:id="14"/>
    <w:bookmarkStart w:id="16" w:name="X1ab32dc2f0f74c90fcd46931b09390c078cdaa9"/>
    <w:p>
      <w:pPr>
        <w:pStyle w:val="Heading2"/>
      </w:pPr>
      <w:r>
        <w:t xml:space="preserve">1. A guidance increase is the central event</w:t>
      </w:r>
    </w:p>
    <w:p>
      <w:pPr>
        <w:pStyle w:val="FirstParagraph"/>
      </w:pPr>
      <w:r>
        <w:t xml:space="preserve">Corteva entered the year guiding to:</w:t>
      </w:r>
    </w:p>
    <w:p>
      <w:pPr>
        <w:pStyle w:val="Compact"/>
        <w:numPr>
          <w:ilvl w:val="0"/>
          <w:numId w:val="1002"/>
        </w:numPr>
      </w:pPr>
      <w:r>
        <w:rPr>
          <w:b/>
          <w:bCs/>
        </w:rPr>
        <w:t xml:space="preserve">Operating EBITDA:</w:t>
      </w:r>
      <w:r>
        <w:t xml:space="preserve"> </w:t>
      </w:r>
      <m:oMath>
        <m:r>
          <m:t>4.0</m:t>
        </m:r>
        <m:r>
          <m:rPr>
            <m:sty m:val="p"/>
          </m:rPr>
          <m:t>–</m:t>
        </m:r>
      </m:oMath>
      <w:r>
        <w:t xml:space="preserve">4.2 billion</w:t>
      </w:r>
    </w:p>
    <w:p>
      <w:pPr>
        <w:pStyle w:val="Compact"/>
        <w:numPr>
          <w:ilvl w:val="0"/>
          <w:numId w:val="1002"/>
        </w:numPr>
      </w:pPr>
      <w:r>
        <w:rPr>
          <w:b/>
          <w:bCs/>
        </w:rPr>
        <w:t xml:space="preserve">Operating EBITDA margin:</w:t>
      </w:r>
      <w:r>
        <w:t xml:space="preserve"> </w:t>
      </w:r>
      <w:r>
        <w:t xml:space="preserve">22%–23%</w:t>
      </w:r>
    </w:p>
    <w:p>
      <w:pPr>
        <w:pStyle w:val="Compact"/>
        <w:numPr>
          <w:ilvl w:val="0"/>
          <w:numId w:val="1002"/>
        </w:numPr>
      </w:pPr>
      <w:r>
        <w:rPr>
          <w:b/>
          <w:bCs/>
        </w:rPr>
        <w:t xml:space="preserve">Operating EPS:</w:t>
      </w:r>
      <w:r>
        <w:t xml:space="preserve"> </w:t>
      </w:r>
      <m:oMath>
        <m:r>
          <m:t>3.45</m:t>
        </m:r>
        <m:r>
          <m:rPr>
            <m:sty m:val="p"/>
          </m:rPr>
          <m:t>–</m:t>
        </m:r>
      </m:oMath>
      <w:r>
        <w:t xml:space="preserve">3.70</w:t>
      </w:r>
    </w:p>
    <w:p>
      <w:pPr>
        <w:pStyle w:val="FirstParagraph"/>
      </w:pPr>
      <w:r>
        <w:t xml:space="preserve">Q1 operating EPS of $1.50 was $0.32 above the consensus estimate tracked by Barchart, while revenue and EBITDA also came in strongly. Corteva nevertheless reiterated guidance because North American planting was still underway. (</w:t>
      </w:r>
      <w:hyperlink r:id="rId13">
        <w:r>
          <w:rPr>
            <w:rStyle w:val="Hyperlink"/>
          </w:rPr>
          <w:t xml:space="preserve">barchart.com</w:t>
        </w:r>
      </w:hyperlink>
      <w:r>
        <w:t xml:space="preserve">)</w:t>
      </w:r>
    </w:p>
    <w:p>
      <w:pPr>
        <w:pStyle w:val="BodyText"/>
      </w:pPr>
      <w:r>
        <w:t xml:space="preserve">Management identified several improvements relative to its original outlook:</w:t>
      </w:r>
    </w:p>
    <w:p>
      <w:pPr>
        <w:pStyle w:val="Compact"/>
        <w:numPr>
          <w:ilvl w:val="0"/>
          <w:numId w:val="1003"/>
        </w:numPr>
      </w:pPr>
      <w:r>
        <w:t xml:space="preserve">Better currency, led by the euro and Brazilian real</w:t>
      </w:r>
    </w:p>
    <w:p>
      <w:pPr>
        <w:pStyle w:val="Compact"/>
        <w:numPr>
          <w:ilvl w:val="0"/>
          <w:numId w:val="1003"/>
        </w:numPr>
      </w:pPr>
      <w:r>
        <w:t xml:space="preserve">Faster progress toward becoming royalty-positive</w:t>
      </w:r>
    </w:p>
    <w:p>
      <w:pPr>
        <w:pStyle w:val="Compact"/>
        <w:numPr>
          <w:ilvl w:val="0"/>
          <w:numId w:val="1003"/>
        </w:numPr>
      </w:pPr>
      <w:r>
        <w:t xml:space="preserve">Tariffs tracking slightly better than originally assumed</w:t>
      </w:r>
    </w:p>
    <w:p>
      <w:pPr>
        <w:pStyle w:val="Compact"/>
        <w:numPr>
          <w:ilvl w:val="0"/>
          <w:numId w:val="1003"/>
        </w:numPr>
      </w:pPr>
      <w:r>
        <w:t xml:space="preserve">First-half performance developing above the initial plan</w:t>
      </w:r>
    </w:p>
    <w:p>
      <w:pPr>
        <w:pStyle w:val="Compact"/>
        <w:numPr>
          <w:ilvl w:val="0"/>
          <w:numId w:val="1003"/>
        </w:numPr>
      </w:pPr>
      <w:r>
        <w:t xml:space="preserve">Potentially lower tax-rate pressure</w:t>
      </w:r>
    </w:p>
    <w:p>
      <w:pPr>
        <w:pStyle w:val="FirstParagraph"/>
      </w:pPr>
      <w:r>
        <w:t xml:space="preserve">Offsets included approximately</w:t>
      </w:r>
      <w:r>
        <w:t xml:space="preserve"> </w:t>
      </w:r>
      <w:r>
        <w:rPr>
          <w:b/>
          <w:bCs/>
        </w:rPr>
        <w:t xml:space="preserve">$40 million of higher oil-related costs</w:t>
      </w:r>
      <w:r>
        <w:t xml:space="preserve">, primarily expected to affect the second half as Crop Protection inventory turns.</w:t>
      </w:r>
    </w:p>
    <w:bookmarkStart w:id="15" w:name="what-the-market-likely-wants"/>
    <w:p>
      <w:pPr>
        <w:pStyle w:val="Heading3"/>
      </w:pPr>
      <w:r>
        <w:t xml:space="preserve">What the market likely wants</w:t>
      </w:r>
    </w:p>
    <w:p>
      <w:pPr>
        <w:pStyle w:val="FirstParagraph"/>
      </w:pPr>
      <w:r>
        <w:t xml:space="preserve">A credible report probably requires management to raise at least the EPS range and potentially tighten or lift EBITDA guidance. More important than the size of the increase will be its composition:</w:t>
      </w:r>
    </w:p>
    <w:p>
      <w:pPr>
        <w:pStyle w:val="Compact"/>
        <w:numPr>
          <w:ilvl w:val="0"/>
          <w:numId w:val="1004"/>
        </w:numPr>
      </w:pPr>
      <w:r>
        <w:t xml:space="preserve">Is the raise based on durable price/mix, royalties and productivity?</w:t>
      </w:r>
    </w:p>
    <w:p>
      <w:pPr>
        <w:pStyle w:val="Compact"/>
        <w:numPr>
          <w:ilvl w:val="0"/>
          <w:numId w:val="1004"/>
        </w:numPr>
      </w:pPr>
      <w:r>
        <w:t xml:space="preserve">Or does it mainly reflect currency and Q1/Q2 timing?</w:t>
      </w:r>
    </w:p>
    <w:p>
      <w:pPr>
        <w:pStyle w:val="Compact"/>
        <w:numPr>
          <w:ilvl w:val="0"/>
          <w:numId w:val="1004"/>
        </w:numPr>
      </w:pPr>
      <w:r>
        <w:t xml:space="preserve">Is management retaining enough cushion for Latin America, oil costs and the separation?</w:t>
      </w:r>
    </w:p>
    <w:p>
      <w:pPr>
        <w:pStyle w:val="FirstParagraph"/>
      </w:pPr>
      <w:r>
        <w:t xml:space="preserve">A guide merely reiterated at</w:t>
      </w:r>
      <w:r>
        <w:t xml:space="preserve"> </w:t>
      </w:r>
      <m:oMath>
        <m:r>
          <m:t>3.45</m:t>
        </m:r>
        <m:r>
          <m:rPr>
            <m:sty m:val="p"/>
          </m:rPr>
          <m:t>–</m:t>
        </m:r>
      </m:oMath>
      <w:r>
        <w:t xml:space="preserve">3.70 would place the top end below the current $3.72 Street estimate and would likely be interpreted as caution about the second half.</w:t>
      </w:r>
    </w:p>
    <w:p>
      <w:r>
        <w:pict>
          <v:rect style="width:0;height:1.5pt" o:hralign="center" o:hrstd="t" o:hr="t"/>
        </w:pict>
      </w:r>
    </w:p>
    <w:bookmarkEnd w:id="15"/>
    <w:bookmarkEnd w:id="16"/>
    <w:bookmarkStart w:id="18" w:name="Xbd90b63d0bf4c8a77cce386a40ebe6aa11e9a3c"/>
    <w:p>
      <w:pPr>
        <w:pStyle w:val="Heading2"/>
      </w:pPr>
      <w:r>
        <w:t xml:space="preserve">2. Seed: focus on first-half share, price/mix and royalties</w:t>
      </w:r>
    </w:p>
    <w:p>
      <w:pPr>
        <w:pStyle w:val="FirstParagraph"/>
      </w:pPr>
      <w:r>
        <w:t xml:space="preserve">Seed was the main Q1 earnings engine:</w:t>
      </w:r>
    </w:p>
    <w:p>
      <w:pPr>
        <w:pStyle w:val="Compact"/>
        <w:numPr>
          <w:ilvl w:val="0"/>
          <w:numId w:val="1005"/>
        </w:numPr>
      </w:pPr>
      <w:r>
        <w:t xml:space="preserve">Sales increased 12%, or 9% organically.</w:t>
      </w:r>
    </w:p>
    <w:p>
      <w:pPr>
        <w:pStyle w:val="Compact"/>
        <w:numPr>
          <w:ilvl w:val="0"/>
          <w:numId w:val="1005"/>
        </w:numPr>
      </w:pPr>
      <w:r>
        <w:t xml:space="preserve">Operating EBITDA rose 23% to $1.03 billion.</w:t>
      </w:r>
    </w:p>
    <w:p>
      <w:pPr>
        <w:pStyle w:val="Compact"/>
        <w:numPr>
          <w:ilvl w:val="0"/>
          <w:numId w:val="1005"/>
        </w:numPr>
      </w:pPr>
      <w:r>
        <w:t xml:space="preserve">Margin expanded by approximately 310 basis points.</w:t>
      </w:r>
    </w:p>
    <w:p>
      <w:pPr>
        <w:pStyle w:val="Compact"/>
        <w:numPr>
          <w:ilvl w:val="0"/>
          <w:numId w:val="1005"/>
        </w:numPr>
      </w:pPr>
      <w:r>
        <w:t xml:space="preserve">Price/mix increased in every region.</w:t>
      </w:r>
    </w:p>
    <w:p>
      <w:pPr>
        <w:pStyle w:val="Compact"/>
        <w:numPr>
          <w:ilvl w:val="0"/>
          <w:numId w:val="1005"/>
        </w:numPr>
      </w:pPr>
      <w:r>
        <w:t xml:space="preserve">Net royalty expense improved by another $30 million.</w:t>
      </w:r>
    </w:p>
    <w:p>
      <w:pPr>
        <w:pStyle w:val="FirstParagraph"/>
      </w:pPr>
      <w:r>
        <w:t xml:space="preserve">Some Q1 volume was timing-related, so investors should not expect the same growth rate in Q2. The more important questions are whether Corteva held or gained share across the completed North American season and whether premium-product demand remained resilient despite tight farmer economics.</w:t>
      </w:r>
    </w:p>
    <w:p>
      <w:pPr>
        <w:pStyle w:val="BodyText"/>
      </w:pPr>
      <w:r>
        <w:t xml:space="preserve">USDA ultimately estimated 95.3 million corn acres and 85.4 million soybean acres. That is very close to the 95 million corn/85 million soybean framework Corteva discussed in May. The acreage mix therefore should not force a material revision to the company's assumptions. (</w:t>
      </w:r>
      <w:hyperlink r:id="rId10">
        <w:r>
          <w:rPr>
            <w:rStyle w:val="Hyperlink"/>
          </w:rPr>
          <w:t xml:space="preserve">nass.usda.gov</w:t>
        </w:r>
      </w:hyperlink>
      <w:r>
        <w:t xml:space="preserve">)</w:t>
      </w:r>
    </w:p>
    <w:bookmarkStart w:id="17" w:name="seed-indicators-to-watch"/>
    <w:p>
      <w:pPr>
        <w:pStyle w:val="Heading3"/>
      </w:pPr>
      <w:r>
        <w:t xml:space="preserve">Seed indicators to watch</w:t>
      </w:r>
    </w:p>
    <w:p>
      <w:pPr>
        <w:pStyle w:val="Compact"/>
        <w:numPr>
          <w:ilvl w:val="0"/>
          <w:numId w:val="1006"/>
        </w:numPr>
      </w:pPr>
      <w:r>
        <w:rPr>
          <w:b/>
          <w:bCs/>
        </w:rPr>
        <w:t xml:space="preserve">North American corn share:</w:t>
      </w:r>
      <w:r>
        <w:t xml:space="preserve"> </w:t>
      </w:r>
      <w:r>
        <w:t xml:space="preserve">Management entered the season confident in Pioneer and Brevant positioning.</w:t>
      </w:r>
    </w:p>
    <w:p>
      <w:pPr>
        <w:pStyle w:val="Compact"/>
        <w:numPr>
          <w:ilvl w:val="0"/>
          <w:numId w:val="1006"/>
        </w:numPr>
      </w:pPr>
      <w:r>
        <w:rPr>
          <w:b/>
          <w:bCs/>
        </w:rPr>
        <w:t xml:space="preserve">Soybean volumes:</w:t>
      </w:r>
      <w:r>
        <w:t xml:space="preserve"> </w:t>
      </w:r>
      <w:r>
        <w:t xml:space="preserve">Q1 soybean volume declined 2% because of shipment timing. Q2 should confirm whether this was purely timing.</w:t>
      </w:r>
    </w:p>
    <w:p>
      <w:pPr>
        <w:pStyle w:val="Compact"/>
        <w:numPr>
          <w:ilvl w:val="0"/>
          <w:numId w:val="1006"/>
        </w:numPr>
      </w:pPr>
      <w:r>
        <w:rPr>
          <w:b/>
          <w:bCs/>
        </w:rPr>
        <w:t xml:space="preserve">Enlist penetration:</w:t>
      </w:r>
      <w:r>
        <w:t xml:space="preserve"> </w:t>
      </w:r>
      <w:r>
        <w:t xml:space="preserve">Corteva expected Enlist to reach about 65% of U.S. soybean acres.</w:t>
      </w:r>
    </w:p>
    <w:p>
      <w:pPr>
        <w:pStyle w:val="Compact"/>
        <w:numPr>
          <w:ilvl w:val="0"/>
          <w:numId w:val="1006"/>
        </w:numPr>
      </w:pPr>
      <w:r>
        <w:rPr>
          <w:b/>
          <w:bCs/>
        </w:rPr>
        <w:t xml:space="preserve">Price/mix:</w:t>
      </w:r>
      <w:r>
        <w:t xml:space="preserve"> </w:t>
      </w:r>
      <w:r>
        <w:t xml:space="preserve">Farmers were still paying for higher-yielding hybrids and varieties in Q1. Sustained low-single-digit price/mix would support the premium-technology thesis.</w:t>
      </w:r>
    </w:p>
    <w:p>
      <w:pPr>
        <w:pStyle w:val="Compact"/>
        <w:numPr>
          <w:ilvl w:val="0"/>
          <w:numId w:val="1006"/>
        </w:numPr>
      </w:pPr>
      <w:r>
        <w:rPr>
          <w:b/>
          <w:bCs/>
        </w:rPr>
        <w:t xml:space="preserve">Royalty neutrality:</w:t>
      </w:r>
      <w:r>
        <w:t xml:space="preserve"> </w:t>
      </w:r>
      <w:r>
        <w:t xml:space="preserve">Management upgraded its expectation in May from royalty-neutral to</w:t>
      </w:r>
      <w:r>
        <w:t xml:space="preserve"> </w:t>
      </w:r>
      <w:r>
        <w:rPr>
          <w:b/>
          <w:bCs/>
        </w:rPr>
        <w:t xml:space="preserve">royalty-positive during 2026</w:t>
      </w:r>
      <w:r>
        <w:t xml:space="preserve">. An additional improvement would be high-quality, structural earnings upside.</w:t>
      </w:r>
    </w:p>
    <w:p>
      <w:pPr>
        <w:pStyle w:val="Compact"/>
        <w:numPr>
          <w:ilvl w:val="0"/>
          <w:numId w:val="1006"/>
        </w:numPr>
      </w:pPr>
      <w:r>
        <w:rPr>
          <w:b/>
          <w:bCs/>
        </w:rPr>
        <w:t xml:space="preserve">Licensing:</w:t>
      </w:r>
      <w:r>
        <w:t xml:space="preserve"> </w:t>
      </w:r>
      <w:r>
        <w:t xml:space="preserve">Corteva had more than 100 independent seed-company licensees for PowerCore Enlist corn and Enlist E3 soybeans. Investors should look for evidence that the Bayer agreement and broader licensing model are converting into revenue.</w:t>
      </w:r>
    </w:p>
    <w:p>
      <w:pPr>
        <w:pStyle w:val="FirstParagraph"/>
      </w:pPr>
      <w:r>
        <w:t xml:space="preserve">A good Seed result does not necessarily require strong reported Q2 volume growth. It requires healthy first-half share, price/mix, royalty improvement and confidence in Brazil.</w:t>
      </w:r>
    </w:p>
    <w:p>
      <w:r>
        <w:pict>
          <v:rect style="width:0;height:1.5pt" o:hralign="center" o:hrstd="t" o:hr="t"/>
        </w:pict>
      </w:r>
    </w:p>
    <w:bookmarkEnd w:id="17"/>
    <w:bookmarkEnd w:id="18"/>
    <w:bookmarkStart w:id="20" w:name="Xac673745daf7f38b69cccba70a3803cbc83eb65"/>
    <w:p>
      <w:pPr>
        <w:pStyle w:val="Heading2"/>
      </w:pPr>
      <w:r>
        <w:t xml:space="preserve">3. Crop Protection: volume growth versus continued price pressure</w:t>
      </w:r>
    </w:p>
    <w:p>
      <w:pPr>
        <w:pStyle w:val="FirstParagraph"/>
      </w:pPr>
      <w:r>
        <w:t xml:space="preserve">Crop Protection entered Q2 with mixed—but improving—fundamentals.</w:t>
      </w:r>
    </w:p>
    <w:p>
      <w:pPr>
        <w:pStyle w:val="BodyText"/>
      </w:pPr>
      <w:r>
        <w:t xml:space="preserve">In Q1:</w:t>
      </w:r>
    </w:p>
    <w:p>
      <w:pPr>
        <w:pStyle w:val="Compact"/>
        <w:numPr>
          <w:ilvl w:val="0"/>
          <w:numId w:val="1007"/>
        </w:numPr>
      </w:pPr>
      <w:r>
        <w:t xml:space="preserve">Sales increased 10%, or 4% organically.</w:t>
      </w:r>
    </w:p>
    <w:p>
      <w:pPr>
        <w:pStyle w:val="Compact"/>
        <w:numPr>
          <w:ilvl w:val="0"/>
          <w:numId w:val="1007"/>
        </w:numPr>
      </w:pPr>
      <w:r>
        <w:t xml:space="preserve">Volume rose 6%.</w:t>
      </w:r>
    </w:p>
    <w:p>
      <w:pPr>
        <w:pStyle w:val="Compact"/>
        <w:numPr>
          <w:ilvl w:val="0"/>
          <w:numId w:val="1007"/>
        </w:numPr>
      </w:pPr>
      <w:r>
        <w:t xml:space="preserve">Price declined 2%.</w:t>
      </w:r>
    </w:p>
    <w:p>
      <w:pPr>
        <w:pStyle w:val="Compact"/>
        <w:numPr>
          <w:ilvl w:val="0"/>
          <w:numId w:val="1007"/>
        </w:numPr>
      </w:pPr>
      <w:r>
        <w:t xml:space="preserve">Operating EBITDA increased 15%.</w:t>
      </w:r>
    </w:p>
    <w:p>
      <w:pPr>
        <w:pStyle w:val="Compact"/>
        <w:numPr>
          <w:ilvl w:val="0"/>
          <w:numId w:val="1007"/>
        </w:numPr>
      </w:pPr>
      <w:r>
        <w:t xml:space="preserve">New products and spinosyns posted double-digit volume gains.</w:t>
      </w:r>
    </w:p>
    <w:p>
      <w:pPr>
        <w:pStyle w:val="Compact"/>
        <w:numPr>
          <w:ilvl w:val="0"/>
          <w:numId w:val="1007"/>
        </w:numPr>
      </w:pPr>
      <w:r>
        <w:t xml:space="preserve">Latin American pricing fell sharply amid competitive pressure.</w:t>
      </w:r>
    </w:p>
    <w:p>
      <w:pPr>
        <w:pStyle w:val="Compact"/>
        <w:numPr>
          <w:ilvl w:val="0"/>
          <w:numId w:val="1007"/>
        </w:numPr>
      </w:pPr>
      <w:r>
        <w:t xml:space="preserve">Biologicals declined in Q1, although management described the portfolio as weighted toward the second half.</w:t>
      </w:r>
    </w:p>
    <w:p>
      <w:pPr>
        <w:pStyle w:val="FirstParagraph"/>
      </w:pPr>
      <w:r>
        <w:t xml:space="preserve">Corteva expects the global Crop Protection market to return to modest growth in 2026 after several difficult years. Its own plan calls for mid-single-digit volume growth to more than offset low-single-digit pricing pressure.</w:t>
      </w:r>
    </w:p>
    <w:bookmarkStart w:id="19" w:name="what-matters-in-q2"/>
    <w:p>
      <w:pPr>
        <w:pStyle w:val="Heading3"/>
      </w:pPr>
      <w:r>
        <w:t xml:space="preserve">What matters in Q2</w:t>
      </w:r>
    </w:p>
    <w:p>
      <w:pPr>
        <w:pStyle w:val="FirstParagraph"/>
      </w:pPr>
      <w:r>
        <w:rPr>
          <w:b/>
          <w:bCs/>
        </w:rPr>
        <w:t xml:space="preserve">Pricing discipline:</w:t>
      </w:r>
      <w:r>
        <w:t xml:space="preserve"> </w:t>
      </w:r>
      <w:r>
        <w:t xml:space="preserve">Investors will want evidence that Latin American pricing pressure is stabilizing. A further deterioration could offset otherwise healthy volume and productivity.</w:t>
      </w:r>
    </w:p>
    <w:p>
      <w:pPr>
        <w:pStyle w:val="BodyText"/>
      </w:pPr>
      <w:r>
        <w:rPr>
          <w:b/>
          <w:bCs/>
        </w:rPr>
        <w:t xml:space="preserve">New-product mix:</w:t>
      </w:r>
      <w:r>
        <w:t xml:space="preserve"> </w:t>
      </w:r>
      <w:r>
        <w:t xml:space="preserve">The differentiated portfolio—including Arylex, Rinskor and spinosyns—should continue to grow faster than legacy products. Management expects new Crop Protection products to approach $2 billion in annual revenue.</w:t>
      </w:r>
    </w:p>
    <w:p>
      <w:pPr>
        <w:pStyle w:val="BodyText"/>
      </w:pPr>
      <w:r>
        <w:rPr>
          <w:b/>
          <w:bCs/>
        </w:rPr>
        <w:t xml:space="preserve">Second-half Latin America setup:</w:t>
      </w:r>
      <w:r>
        <w:t xml:space="preserve"> </w:t>
      </w:r>
      <w:r>
        <w:t xml:space="preserve">Much of the expected Crop Protection acceleration is back-half weighted. Management previously called for high-single-digit second-half volume growth, driven by Latin America, biologicals and new products.</w:t>
      </w:r>
    </w:p>
    <w:p>
      <w:pPr>
        <w:pStyle w:val="BodyText"/>
      </w:pPr>
      <w:r>
        <w:rPr>
          <w:b/>
          <w:bCs/>
        </w:rPr>
        <w:t xml:space="preserve">Biologicals:</w:t>
      </w:r>
      <w:r>
        <w:t xml:space="preserve"> </w:t>
      </w:r>
      <w:r>
        <w:t xml:space="preserve">Q1 organic biological sales fell 21%, making a recovery important to the full-year growth narrative. Utrisha and BlueN could benefit from high fertilizer costs, but investors will want actual order-book evidence.</w:t>
      </w:r>
    </w:p>
    <w:p>
      <w:pPr>
        <w:pStyle w:val="BodyText"/>
      </w:pPr>
      <w:r>
        <w:rPr>
          <w:b/>
          <w:bCs/>
        </w:rPr>
        <w:t xml:space="preserve">China supply and industry inventories:</w:t>
      </w:r>
      <w:r>
        <w:t xml:space="preserve"> </w:t>
      </w:r>
      <w:r>
        <w:t xml:space="preserve">In May, management cited early signs of slowing Chinese exports into Brazil and higher Chinese active-ingredient costs. Confirmation would support a healthier pricing environment in late 2026 and 2027.</w:t>
      </w:r>
    </w:p>
    <w:p>
      <w:r>
        <w:pict>
          <v:rect style="width:0;height:1.5pt" o:hralign="center" o:hrstd="t" o:hr="t"/>
        </w:pict>
      </w:r>
    </w:p>
    <w:bookmarkEnd w:id="19"/>
    <w:bookmarkEnd w:id="20"/>
    <w:bookmarkStart w:id="21" w:name="X8729ed5ee5680fb5075b2f46363eb39ed76718b"/>
    <w:p>
      <w:pPr>
        <w:pStyle w:val="Heading2"/>
      </w:pPr>
      <w:r>
        <w:t xml:space="preserve">4. Oil, tariffs and farmer economics are the major macro swing factors</w:t>
      </w:r>
    </w:p>
    <w:p>
      <w:pPr>
        <w:pStyle w:val="FirstParagraph"/>
      </w:pPr>
      <w:r>
        <w:t xml:space="preserve">Corteva's May forecast included a roughly</w:t>
      </w:r>
      <w:r>
        <w:t xml:space="preserve"> </w:t>
      </w:r>
      <w:r>
        <w:rPr>
          <w:b/>
          <w:bCs/>
        </w:rPr>
        <w:t xml:space="preserve">$40 million</w:t>
      </w:r>
      <w:r>
        <w:t xml:space="preserve"> </w:t>
      </w:r>
      <w:r>
        <w:t xml:space="preserve">oil-related EBITDA headwind, expected to emerge mainly in the second half. Higher energy prices affect Corteva directly through Crop Protection feedstocks and indirectly through farmer fuel and fertilizer costs.</w:t>
      </w:r>
    </w:p>
    <w:p>
      <w:pPr>
        <w:pStyle w:val="BodyText"/>
      </w:pPr>
      <w:r>
        <w:t xml:space="preserve">Questions for the call include:</w:t>
      </w:r>
    </w:p>
    <w:p>
      <w:pPr>
        <w:pStyle w:val="Compact"/>
        <w:numPr>
          <w:ilvl w:val="0"/>
          <w:numId w:val="1008"/>
        </w:numPr>
      </w:pPr>
      <w:r>
        <w:t xml:space="preserve">Has the estimated oil headwind increased since May?</w:t>
      </w:r>
    </w:p>
    <w:p>
      <w:pPr>
        <w:pStyle w:val="Compact"/>
        <w:numPr>
          <w:ilvl w:val="0"/>
          <w:numId w:val="1008"/>
        </w:numPr>
      </w:pPr>
      <w:r>
        <w:t xml:space="preserve">How much has been mitigated through pricing, sourcing or hedging?</w:t>
      </w:r>
    </w:p>
    <w:p>
      <w:pPr>
        <w:pStyle w:val="Compact"/>
        <w:numPr>
          <w:ilvl w:val="0"/>
          <w:numId w:val="1008"/>
        </w:numPr>
      </w:pPr>
      <w:r>
        <w:t xml:space="preserve">Do elevated fertilizer prices threaten Brazilian safrinha corn acreage?</w:t>
      </w:r>
    </w:p>
    <w:p>
      <w:pPr>
        <w:pStyle w:val="Compact"/>
        <w:numPr>
          <w:ilvl w:val="0"/>
          <w:numId w:val="1008"/>
        </w:numPr>
      </w:pPr>
      <w:r>
        <w:t xml:space="preserve">Have recently revised U.S. tariffs changed the previously favorable tariff assessment?</w:t>
      </w:r>
    </w:p>
    <w:p>
      <w:pPr>
        <w:pStyle w:val="Compact"/>
        <w:numPr>
          <w:ilvl w:val="0"/>
          <w:numId w:val="1008"/>
        </w:numPr>
      </w:pPr>
      <w:r>
        <w:t xml:space="preserve">Are higher costs affecting customer credit quality or purchasing behavior?</w:t>
      </w:r>
    </w:p>
    <w:p>
      <w:pPr>
        <w:pStyle w:val="FirstParagraph"/>
      </w:pPr>
      <w:r>
        <w:t xml:space="preserve">The North American acreage outcome was broadly consistent with the company's plan, but Brazil remains the more meaningful second-half uncertainty.</w:t>
      </w:r>
    </w:p>
    <w:p>
      <w:r>
        <w:pict>
          <v:rect style="width:0;height:1.5pt" o:hralign="center" o:hrstd="t" o:hr="t"/>
        </w:pict>
      </w:r>
    </w:p>
    <w:bookmarkEnd w:id="21"/>
    <w:bookmarkStart w:id="25" w:name="X7d8624d646bf952d4cd233c0f3174e90cbe5280"/>
    <w:p>
      <w:pPr>
        <w:pStyle w:val="Heading2"/>
      </w:pPr>
      <w:r>
        <w:t xml:space="preserve">5. Separation execution is now part of the earnings thesis</w:t>
      </w:r>
    </w:p>
    <w:p>
      <w:pPr>
        <w:pStyle w:val="FirstParagraph"/>
      </w:pPr>
      <w:r>
        <w:t xml:space="preserve">Corteva continues to target a</w:t>
      </w:r>
      <w:r>
        <w:t xml:space="preserve"> </w:t>
      </w:r>
      <w:r>
        <w:rPr>
          <w:b/>
          <w:bCs/>
        </w:rPr>
        <w:t xml:space="preserve">fourth-quarter 2026</w:t>
      </w:r>
      <w:r>
        <w:t xml:space="preserve"> </w:t>
      </w:r>
      <w:r>
        <w:t xml:space="preserve">separation:</w:t>
      </w:r>
    </w:p>
    <w:p>
      <w:pPr>
        <w:pStyle w:val="Compact"/>
        <w:numPr>
          <w:ilvl w:val="0"/>
          <w:numId w:val="1009"/>
        </w:numPr>
      </w:pPr>
      <w:r>
        <w:rPr>
          <w:b/>
          <w:bCs/>
        </w:rPr>
        <w:t xml:space="preserve">Vylor:</w:t>
      </w:r>
      <w:r>
        <w:t xml:space="preserve"> </w:t>
      </w:r>
      <w:r>
        <w:t xml:space="preserve">advanced Seed and genetics, led by Chuck Magro</w:t>
      </w:r>
    </w:p>
    <w:p>
      <w:pPr>
        <w:pStyle w:val="Compact"/>
        <w:numPr>
          <w:ilvl w:val="0"/>
          <w:numId w:val="1009"/>
        </w:numPr>
      </w:pPr>
      <w:r>
        <w:rPr>
          <w:b/>
          <w:bCs/>
        </w:rPr>
        <w:t xml:space="preserve">Corteva:</w:t>
      </w:r>
      <w:r>
        <w:t xml:space="preserve"> </w:t>
      </w:r>
      <w:r>
        <w:t xml:space="preserve">pure-play Crop Protection, led by Luke Kissam</w:t>
      </w:r>
    </w:p>
    <w:p>
      <w:pPr>
        <w:pStyle w:val="FirstParagraph"/>
      </w:pPr>
      <w:r>
        <w:t xml:space="preserve">Vylor publicly filed its Form 10 on June 29, and the boards for both future companies have been announced. The separation remains subject to final approvals, the Form 10 becoming effective, NYSE listing approval and tax-related conditions. (</w:t>
      </w:r>
      <w:hyperlink r:id="rId22">
        <w:r>
          <w:rPr>
            <w:rStyle w:val="Hyperlink"/>
          </w:rPr>
          <w:t xml:space="preserve">sec.gov</w:t>
        </w:r>
      </w:hyperlink>
      <w:r>
        <w:t xml:space="preserve">)</w:t>
      </w:r>
    </w:p>
    <w:p>
      <w:pPr>
        <w:pStyle w:val="BodyText"/>
      </w:pPr>
      <w:r>
        <w:t xml:space="preserve">The Vylor filing describes a Seed business that generated approximately</w:t>
      </w:r>
      <w:r>
        <w:t xml:space="preserve"> </w:t>
      </w:r>
      <w:r>
        <w:rPr>
          <w:b/>
          <w:bCs/>
        </w:rPr>
        <w:t xml:space="preserve">$9.9 billion of 2025 sales</w:t>
      </w:r>
      <w:r>
        <w:t xml:space="preserve">, with growth expected from licensing, gene editing, hybrid wheat and biofuels. It estimates a roughly $4 billion annual addressable licensing market in corn and soybeans across the Americas. (</w:t>
      </w:r>
      <w:hyperlink r:id="rId23">
        <w:r>
          <w:rPr>
            <w:rStyle w:val="Hyperlink"/>
          </w:rPr>
          <w:t xml:space="preserve">sec.gov</w:t>
        </w:r>
      </w:hyperlink>
      <w:r>
        <w:t xml:space="preserve">)</w:t>
      </w:r>
    </w:p>
    <w:bookmarkStart w:id="24" w:name="Xac70d7007363d095f0a54d4b91a1d545f657cca"/>
    <w:p>
      <w:pPr>
        <w:pStyle w:val="Heading3"/>
      </w:pPr>
      <w:r>
        <w:t xml:space="preserve">Separation items investors need clarified</w:t>
      </w:r>
    </w:p>
    <w:p>
      <w:pPr>
        <w:pStyle w:val="Compact"/>
        <w:numPr>
          <w:ilvl w:val="0"/>
          <w:numId w:val="1010"/>
        </w:numPr>
      </w:pPr>
      <w:r>
        <w:t xml:space="preserve">Confirmation that the spin remains on schedule for Q4</w:t>
      </w:r>
    </w:p>
    <w:p>
      <w:pPr>
        <w:pStyle w:val="Compact"/>
        <w:numPr>
          <w:ilvl w:val="0"/>
          <w:numId w:val="1010"/>
        </w:numPr>
      </w:pPr>
      <w:r>
        <w:t xml:space="preserve">Final capital-structure timing and expected debt allocation</w:t>
      </w:r>
    </w:p>
    <w:p>
      <w:pPr>
        <w:pStyle w:val="Compact"/>
        <w:numPr>
          <w:ilvl w:val="0"/>
          <w:numId w:val="1010"/>
        </w:numPr>
      </w:pPr>
      <w:r>
        <w:t xml:space="preserve">Whether estimated net dis-synergies remain below the original $100 million</w:t>
      </w:r>
    </w:p>
    <w:p>
      <w:pPr>
        <w:pStyle w:val="Compact"/>
        <w:numPr>
          <w:ilvl w:val="0"/>
          <w:numId w:val="1010"/>
        </w:numPr>
      </w:pPr>
      <w:r>
        <w:t xml:space="preserve">Allocation of corporate costs between the businesses</w:t>
      </w:r>
    </w:p>
    <w:p>
      <w:pPr>
        <w:pStyle w:val="Compact"/>
        <w:numPr>
          <w:ilvl w:val="0"/>
          <w:numId w:val="1010"/>
        </w:numPr>
      </w:pPr>
      <w:r>
        <w:t xml:space="preserve">Stand-alone margin and free-cash-flow profiles</w:t>
      </w:r>
    </w:p>
    <w:p>
      <w:pPr>
        <w:pStyle w:val="Compact"/>
        <w:numPr>
          <w:ilvl w:val="0"/>
          <w:numId w:val="1010"/>
        </w:numPr>
      </w:pPr>
      <w:r>
        <w:t xml:space="preserve">Progress toward investment-grade credit metrics for both companies</w:t>
      </w:r>
    </w:p>
    <w:p>
      <w:pPr>
        <w:pStyle w:val="Compact"/>
        <w:numPr>
          <w:ilvl w:val="0"/>
          <w:numId w:val="1010"/>
        </w:numPr>
      </w:pPr>
      <w:r>
        <w:t xml:space="preserve">Whether September 15 remains the date for the two-company Investor Day</w:t>
      </w:r>
    </w:p>
    <w:p>
      <w:pPr>
        <w:pStyle w:val="FirstParagraph"/>
      </w:pPr>
      <w:r>
        <w:t xml:space="preserve">The market will likely place increasing weight on stand-alone earnings rather than consolidated 2026 results. Any additional segment disclosures that make a sum-of-the-parts valuation easier would be constructive.</w:t>
      </w:r>
    </w:p>
    <w:p>
      <w:r>
        <w:pict>
          <v:rect style="width:0;height:1.5pt" o:hralign="center" o:hrstd="t" o:hr="t"/>
        </w:pict>
      </w:r>
    </w:p>
    <w:bookmarkEnd w:id="24"/>
    <w:bookmarkEnd w:id="25"/>
    <w:bookmarkStart w:id="26" w:name="X90231199cb300d06af2601449ad6ec256f7feef"/>
    <w:p>
      <w:pPr>
        <w:pStyle w:val="Heading2"/>
      </w:pPr>
      <w:r>
        <w:t xml:space="preserve">6. Cash flow will be noisy—and needs a clean explanation</w:t>
      </w:r>
    </w:p>
    <w:p>
      <w:pPr>
        <w:pStyle w:val="FirstParagraph"/>
      </w:pPr>
      <w:r>
        <w:t xml:space="preserve">Reported cash flow is complicated by several non-recurring or separation-related items:</w:t>
      </w:r>
    </w:p>
    <w:p>
      <w:pPr>
        <w:pStyle w:val="Compact"/>
        <w:numPr>
          <w:ilvl w:val="0"/>
          <w:numId w:val="1011"/>
        </w:numPr>
      </w:pPr>
      <w:r>
        <w:t xml:space="preserve">The Bayer licensing payment affected Q1 cash flow.</w:t>
      </w:r>
    </w:p>
    <w:p>
      <w:pPr>
        <w:pStyle w:val="Compact"/>
        <w:numPr>
          <w:ilvl w:val="0"/>
          <w:numId w:val="1011"/>
        </w:numPr>
      </w:pPr>
      <w:r>
        <w:t xml:space="preserve">Corteva authorized a</w:t>
      </w:r>
      <w:r>
        <w:t xml:space="preserve"> </w:t>
      </w:r>
      <w:r>
        <w:rPr>
          <w:b/>
          <w:bCs/>
        </w:rPr>
        <w:t xml:space="preserve">$1.5 billion pre-tax pension contribution</w:t>
      </w:r>
      <w:r>
        <w:t xml:space="preserve">, due by July 31.</w:t>
      </w:r>
    </w:p>
    <w:p>
      <w:pPr>
        <w:pStyle w:val="Compact"/>
        <w:numPr>
          <w:ilvl w:val="0"/>
          <w:numId w:val="1011"/>
        </w:numPr>
      </w:pPr>
      <w:r>
        <w:t xml:space="preserve">Approximately $350 million of one-time separation costs are expected, mostly in the second half.</w:t>
      </w:r>
    </w:p>
    <w:p>
      <w:pPr>
        <w:pStyle w:val="Compact"/>
        <w:numPr>
          <w:ilvl w:val="0"/>
          <w:numId w:val="1011"/>
        </w:numPr>
      </w:pPr>
      <w:r>
        <w:t xml:space="preserve">The company planned approximately $500 million of first-half share repurchases.</w:t>
      </w:r>
    </w:p>
    <w:p>
      <w:pPr>
        <w:pStyle w:val="Compact"/>
        <w:numPr>
          <w:ilvl w:val="0"/>
          <w:numId w:val="1011"/>
        </w:numPr>
      </w:pPr>
      <w:r>
        <w:t xml:space="preserve">Seasonal working capital makes Q1 cash use unusually large.</w:t>
      </w:r>
    </w:p>
    <w:p>
      <w:pPr>
        <w:pStyle w:val="FirstParagraph"/>
      </w:pPr>
      <w:r>
        <w:t xml:space="preserve">Corteva has said underlying free-cash-flow conversion should remain consistent with its midterm framework after excluding discrete items. Investors should focus on a clean bridge between:</w:t>
      </w:r>
    </w:p>
    <w:p>
      <w:pPr>
        <w:pStyle w:val="Compact"/>
        <w:numPr>
          <w:ilvl w:val="0"/>
          <w:numId w:val="1012"/>
        </w:numPr>
      </w:pPr>
      <w:r>
        <w:t xml:space="preserve">Reported free cash flow</w:t>
      </w:r>
    </w:p>
    <w:p>
      <w:pPr>
        <w:pStyle w:val="Compact"/>
        <w:numPr>
          <w:ilvl w:val="0"/>
          <w:numId w:val="1012"/>
        </w:numPr>
      </w:pPr>
      <w:r>
        <w:t xml:space="preserve">Bayer and pension payments</w:t>
      </w:r>
    </w:p>
    <w:p>
      <w:pPr>
        <w:pStyle w:val="Compact"/>
        <w:numPr>
          <w:ilvl w:val="0"/>
          <w:numId w:val="1012"/>
        </w:numPr>
      </w:pPr>
      <w:r>
        <w:t xml:space="preserve">Separation spending</w:t>
      </w:r>
    </w:p>
    <w:p>
      <w:pPr>
        <w:pStyle w:val="Compact"/>
        <w:numPr>
          <w:ilvl w:val="0"/>
          <w:numId w:val="1012"/>
        </w:numPr>
      </w:pPr>
      <w:r>
        <w:t xml:space="preserve">Underlying operating cash generation</w:t>
      </w:r>
    </w:p>
    <w:p>
      <w:pPr>
        <w:pStyle w:val="Compact"/>
        <w:numPr>
          <w:ilvl w:val="0"/>
          <w:numId w:val="1012"/>
        </w:numPr>
      </w:pPr>
      <w:r>
        <w:t xml:space="preserve">Cash and debt allocated to Vylor and New Corteva</w:t>
      </w:r>
    </w:p>
    <w:p>
      <w:pPr>
        <w:pStyle w:val="FirstParagraph"/>
      </w:pPr>
      <w:r>
        <w:t xml:space="preserve">This became more relevant after Corteva increased the expected aggregate charges for its Crop Protection manufacturing restructuring by</w:t>
      </w:r>
      <w:r>
        <w:t xml:space="preserve"> </w:t>
      </w:r>
      <m:oMath>
        <m:r>
          <m:t>100</m:t>
        </m:r>
        <m:r>
          <m:rPr>
            <m:sty m:val="p"/>
          </m:rPr>
          <m:t>–</m:t>
        </m:r>
      </m:oMath>
      <w:r>
        <w:t xml:space="preserve">115 million. The program now carries expected aggregate pre-tax charges of</w:t>
      </w:r>
      <w:r>
        <w:t xml:space="preserve"> </w:t>
      </w:r>
      <m:oMath>
        <m:r>
          <m:t>750</m:t>
        </m:r>
        <m:r>
          <m:rPr>
            <m:sty m:val="p"/>
          </m:rPr>
          <m:t>–</m:t>
        </m:r>
      </m:oMath>
      <w:r>
        <w:t xml:space="preserve">815 million and cash payments of</w:t>
      </w:r>
      <w:r>
        <w:t xml:space="preserve"> </w:t>
      </w:r>
      <m:oMath>
        <m:r>
          <m:t>400</m:t>
        </m:r>
        <m:r>
          <m:rPr>
            <m:sty m:val="p"/>
          </m:rPr>
          <m:t>–</m:t>
        </m:r>
      </m:oMath>
      <w:r>
        <w:t xml:space="preserve">443 million through substantial completion in 2028.</w:t>
      </w:r>
    </w:p>
    <w:p>
      <w:r>
        <w:pict>
          <v:rect style="width:0;height:1.5pt" o:hralign="center" o:hrstd="t" o:hr="t"/>
        </w:pict>
      </w:r>
    </w:p>
    <w:bookmarkEnd w:id="26"/>
    <w:bookmarkStart w:id="30" w:name="bull-base-and-bear-outcomes"/>
    <w:p>
      <w:pPr>
        <w:pStyle w:val="Heading2"/>
      </w:pPr>
      <w:r>
        <w:t xml:space="preserve">Bull, base and bear outcomes</w:t>
      </w:r>
    </w:p>
    <w:bookmarkStart w:id="27" w:name="bull-case"/>
    <w:p>
      <w:pPr>
        <w:pStyle w:val="Heading3"/>
      </w:pPr>
      <w:r>
        <w:t xml:space="preserve">Bull case</w:t>
      </w:r>
    </w:p>
    <w:p>
      <w:pPr>
        <w:pStyle w:val="Compact"/>
        <w:numPr>
          <w:ilvl w:val="0"/>
          <w:numId w:val="1013"/>
        </w:numPr>
      </w:pPr>
      <w:r>
        <w:t xml:space="preserve">Operating EPS comfortably exceeds the low-$2.00 consensus range.</w:t>
      </w:r>
    </w:p>
    <w:p>
      <w:pPr>
        <w:pStyle w:val="Compact"/>
        <w:numPr>
          <w:ilvl w:val="0"/>
          <w:numId w:val="1013"/>
        </w:numPr>
      </w:pPr>
      <w:r>
        <w:t xml:space="preserve">First-half Seed price/mix and market share remain strong.</w:t>
      </w:r>
    </w:p>
    <w:p>
      <w:pPr>
        <w:pStyle w:val="Compact"/>
        <w:numPr>
          <w:ilvl w:val="0"/>
          <w:numId w:val="1013"/>
        </w:numPr>
      </w:pPr>
      <w:r>
        <w:t xml:space="preserve">Crop Protection volume offsets pricing pressure.</w:t>
      </w:r>
    </w:p>
    <w:p>
      <w:pPr>
        <w:pStyle w:val="Compact"/>
        <w:numPr>
          <w:ilvl w:val="0"/>
          <w:numId w:val="1013"/>
        </w:numPr>
      </w:pPr>
      <w:r>
        <w:t xml:space="preserve">Management lifts EPS guidance above the prior $3.70 ceiling and raises or tightens EBITDA guidance.</w:t>
      </w:r>
    </w:p>
    <w:p>
      <w:pPr>
        <w:pStyle w:val="Compact"/>
        <w:numPr>
          <w:ilvl w:val="0"/>
          <w:numId w:val="1013"/>
        </w:numPr>
      </w:pPr>
      <w:r>
        <w:t xml:space="preserve">Oil and tariffs remain manageable.</w:t>
      </w:r>
    </w:p>
    <w:p>
      <w:pPr>
        <w:pStyle w:val="Compact"/>
        <w:numPr>
          <w:ilvl w:val="0"/>
          <w:numId w:val="1013"/>
        </w:numPr>
      </w:pPr>
      <w:r>
        <w:t xml:space="preserve">Separation timing and dis-synergy assumptions improve.</w:t>
      </w:r>
    </w:p>
    <w:p>
      <w:pPr>
        <w:pStyle w:val="FirstParagraph"/>
      </w:pPr>
      <w:r>
        <w:rPr>
          <w:b/>
          <w:bCs/>
        </w:rPr>
        <w:t xml:space="preserve">Likely interpretation:</w:t>
      </w:r>
      <w:r>
        <w:t xml:space="preserve"> </w:t>
      </w:r>
      <w:r>
        <w:t xml:space="preserve">The rally is supported by durable earnings upgrades and a more credible sum-of-the-parts thesis.</w:t>
      </w:r>
    </w:p>
    <w:bookmarkEnd w:id="27"/>
    <w:bookmarkStart w:id="28" w:name="base-case"/>
    <w:p>
      <w:pPr>
        <w:pStyle w:val="Heading3"/>
      </w:pPr>
      <w:r>
        <w:t xml:space="preserve">Base case</w:t>
      </w:r>
    </w:p>
    <w:p>
      <w:pPr>
        <w:pStyle w:val="Compact"/>
        <w:numPr>
          <w:ilvl w:val="0"/>
          <w:numId w:val="1014"/>
        </w:numPr>
      </w:pPr>
      <w:r>
        <w:t xml:space="preserve">Results modestly beat consensus.</w:t>
      </w:r>
    </w:p>
    <w:p>
      <w:pPr>
        <w:pStyle w:val="Compact"/>
        <w:numPr>
          <w:ilvl w:val="0"/>
          <w:numId w:val="1014"/>
        </w:numPr>
      </w:pPr>
      <w:r>
        <w:t xml:space="preserve">Seed is solid but Q2 growth slows as expected after the Q1 timing benefit.</w:t>
      </w:r>
    </w:p>
    <w:p>
      <w:pPr>
        <w:pStyle w:val="Compact"/>
        <w:numPr>
          <w:ilvl w:val="0"/>
          <w:numId w:val="1014"/>
        </w:numPr>
      </w:pPr>
      <w:r>
        <w:t xml:space="preserve">Crop Protection pricing remains negative but does not worsen.</w:t>
      </w:r>
    </w:p>
    <w:p>
      <w:pPr>
        <w:pStyle w:val="Compact"/>
        <w:numPr>
          <w:ilvl w:val="0"/>
          <w:numId w:val="1014"/>
        </w:numPr>
      </w:pPr>
      <w:r>
        <w:t xml:space="preserve">EPS guidance increases modestly; EBITDA guidance is tightened toward the upper half.</w:t>
      </w:r>
    </w:p>
    <w:p>
      <w:pPr>
        <w:pStyle w:val="Compact"/>
        <w:numPr>
          <w:ilvl w:val="0"/>
          <w:numId w:val="1014"/>
        </w:numPr>
      </w:pPr>
      <w:r>
        <w:t xml:space="preserve">The spin remains on schedule with no major new disclosures.</w:t>
      </w:r>
    </w:p>
    <w:p>
      <w:pPr>
        <w:pStyle w:val="FirstParagraph"/>
      </w:pPr>
      <w:r>
        <w:rPr>
          <w:b/>
          <w:bCs/>
        </w:rPr>
        <w:t xml:space="preserve">Likely interpretation:</w:t>
      </w:r>
      <w:r>
        <w:t xml:space="preserve"> </w:t>
      </w:r>
      <w:r>
        <w:t xml:space="preserve">Fundamentally positive, but share-price upside may be limited after the 34% YTD gain.</w:t>
      </w:r>
    </w:p>
    <w:bookmarkEnd w:id="28"/>
    <w:bookmarkStart w:id="29" w:name="bear-case"/>
    <w:p>
      <w:pPr>
        <w:pStyle w:val="Heading3"/>
      </w:pPr>
      <w:r>
        <w:t xml:space="preserve">Bear case</w:t>
      </w:r>
    </w:p>
    <w:p>
      <w:pPr>
        <w:pStyle w:val="Compact"/>
        <w:numPr>
          <w:ilvl w:val="0"/>
          <w:numId w:val="1015"/>
        </w:numPr>
      </w:pPr>
      <w:r>
        <w:t xml:space="preserve">North American Seed volumes or soybean share disappoint.</w:t>
      </w:r>
    </w:p>
    <w:p>
      <w:pPr>
        <w:pStyle w:val="Compact"/>
        <w:numPr>
          <w:ilvl w:val="0"/>
          <w:numId w:val="1015"/>
        </w:numPr>
      </w:pPr>
      <w:r>
        <w:t xml:space="preserve">Crop Protection pricing deteriorates further in Latin America.</w:t>
      </w:r>
    </w:p>
    <w:p>
      <w:pPr>
        <w:pStyle w:val="Compact"/>
        <w:numPr>
          <w:ilvl w:val="0"/>
          <w:numId w:val="1015"/>
        </w:numPr>
      </w:pPr>
      <w:r>
        <w:t xml:space="preserve">Oil, tariffs or Brazilian farmer economics produce a larger second-half headwind.</w:t>
      </w:r>
    </w:p>
    <w:p>
      <w:pPr>
        <w:pStyle w:val="Compact"/>
        <w:numPr>
          <w:ilvl w:val="0"/>
          <w:numId w:val="1015"/>
        </w:numPr>
      </w:pPr>
      <w:r>
        <w:t xml:space="preserve">Management reiterates guidance or raises it less than expected.</w:t>
      </w:r>
    </w:p>
    <w:p>
      <w:pPr>
        <w:pStyle w:val="Compact"/>
        <w:numPr>
          <w:ilvl w:val="0"/>
          <w:numId w:val="1015"/>
        </w:numPr>
      </w:pPr>
      <w:r>
        <w:t xml:space="preserve">Separation costs, dis-synergies or capital-structure uncertainty increase.</w:t>
      </w:r>
    </w:p>
    <w:p>
      <w:pPr>
        <w:pStyle w:val="FirstParagraph"/>
      </w:pPr>
      <w:r>
        <w:rPr>
          <w:b/>
          <w:bCs/>
        </w:rPr>
        <w:t xml:space="preserve">Likely interpretation:</w:t>
      </w:r>
      <w:r>
        <w:t xml:space="preserve"> </w:t>
      </w:r>
      <w:r>
        <w:t xml:space="preserve">Even a small operational disappointment could matter because the stock already discounts a guidance raise and smooth separation.</w:t>
      </w:r>
    </w:p>
    <w:p>
      <w:r>
        <w:pict>
          <v:rect style="width:0;height:1.5pt" o:hralign="center" o:hrstd="t" o:hr="t"/>
        </w:pict>
      </w:r>
    </w:p>
    <w:bookmarkEnd w:id="29"/>
    <w:bookmarkEnd w:id="30"/>
    <w:bookmarkStart w:id="31" w:name="key-questions-for-management"/>
    <w:p>
      <w:pPr>
        <w:pStyle w:val="Heading2"/>
      </w:pPr>
      <w:r>
        <w:t xml:space="preserve">Key questions for management</w:t>
      </w:r>
    </w:p>
    <w:p>
      <w:pPr>
        <w:pStyle w:val="Compact"/>
        <w:numPr>
          <w:ilvl w:val="0"/>
          <w:numId w:val="1016"/>
        </w:numPr>
      </w:pPr>
      <w:r>
        <w:rPr>
          <w:b/>
          <w:bCs/>
        </w:rPr>
        <w:t xml:space="preserve">What portion of the revised 2026 outlook comes from core operations versus currency and tax?</w:t>
      </w:r>
    </w:p>
    <w:p>
      <w:pPr>
        <w:pStyle w:val="Compact"/>
        <w:numPr>
          <w:ilvl w:val="0"/>
          <w:numId w:val="1016"/>
        </w:numPr>
      </w:pPr>
      <w:r>
        <w:rPr>
          <w:b/>
          <w:bCs/>
        </w:rPr>
        <w:t xml:space="preserve">What were final North American corn and soybean share outcomes?</w:t>
      </w:r>
    </w:p>
    <w:p>
      <w:pPr>
        <w:pStyle w:val="Compact"/>
        <w:numPr>
          <w:ilvl w:val="0"/>
          <w:numId w:val="1016"/>
        </w:numPr>
      </w:pPr>
      <w:r>
        <w:rPr>
          <w:b/>
          <w:bCs/>
        </w:rPr>
        <w:t xml:space="preserve">How much additional royalty improvement is expected in the second half?</w:t>
      </w:r>
    </w:p>
    <w:p>
      <w:pPr>
        <w:pStyle w:val="Compact"/>
        <w:numPr>
          <w:ilvl w:val="0"/>
          <w:numId w:val="1016"/>
        </w:numPr>
      </w:pPr>
      <w:r>
        <w:rPr>
          <w:b/>
          <w:bCs/>
        </w:rPr>
        <w:t xml:space="preserve">Is Crop Protection pricing in Brazil stabilizing?</w:t>
      </w:r>
    </w:p>
    <w:p>
      <w:pPr>
        <w:pStyle w:val="Compact"/>
        <w:numPr>
          <w:ilvl w:val="0"/>
          <w:numId w:val="1016"/>
        </w:numPr>
      </w:pPr>
      <w:r>
        <w:rPr>
          <w:b/>
          <w:bCs/>
        </w:rPr>
        <w:t xml:space="preserve">What supports the expected second-half acceleration in biologicals and Latin American volume?</w:t>
      </w:r>
    </w:p>
    <w:p>
      <w:pPr>
        <w:pStyle w:val="Compact"/>
        <w:numPr>
          <w:ilvl w:val="0"/>
          <w:numId w:val="1016"/>
        </w:numPr>
      </w:pPr>
      <w:r>
        <w:rPr>
          <w:b/>
          <w:bCs/>
        </w:rPr>
        <w:t xml:space="preserve">Has the $40 million oil-cost headwind changed?</w:t>
      </w:r>
    </w:p>
    <w:p>
      <w:pPr>
        <w:pStyle w:val="Compact"/>
        <w:numPr>
          <w:ilvl w:val="0"/>
          <w:numId w:val="1016"/>
        </w:numPr>
      </w:pPr>
      <w:r>
        <w:rPr>
          <w:b/>
          <w:bCs/>
        </w:rPr>
        <w:t xml:space="preserve">How have recent tariff developments changed the full-year assumptions?</w:t>
      </w:r>
    </w:p>
    <w:p>
      <w:pPr>
        <w:pStyle w:val="Compact"/>
        <w:numPr>
          <w:ilvl w:val="0"/>
          <w:numId w:val="1016"/>
        </w:numPr>
      </w:pPr>
      <w:r>
        <w:rPr>
          <w:b/>
          <w:bCs/>
        </w:rPr>
        <w:t xml:space="preserve">What is the updated estimate for net dis-synergies?</w:t>
      </w:r>
    </w:p>
    <w:p>
      <w:pPr>
        <w:pStyle w:val="Compact"/>
        <w:numPr>
          <w:ilvl w:val="0"/>
          <w:numId w:val="1016"/>
        </w:numPr>
      </w:pPr>
      <w:r>
        <w:rPr>
          <w:b/>
          <w:bCs/>
        </w:rPr>
        <w:t xml:space="preserve">When will final debt, cash and corporate-cost allocations be disclosed?</w:t>
      </w:r>
    </w:p>
    <w:p>
      <w:pPr>
        <w:pStyle w:val="Compact"/>
        <w:numPr>
          <w:ilvl w:val="0"/>
          <w:numId w:val="1016"/>
        </w:numPr>
      </w:pPr>
      <w:r>
        <w:rPr>
          <w:b/>
          <w:bCs/>
        </w:rPr>
        <w:t xml:space="preserve">What is underlying free cash flow after pension, Bayer and separation payments?</w:t>
      </w:r>
    </w:p>
    <w:bookmarkEnd w:id="31"/>
    <w:bookmarkStart w:id="32" w:name="bottom-line"/>
    <w:p>
      <w:pPr>
        <w:pStyle w:val="Heading2"/>
      </w:pPr>
      <w:r>
        <w:t xml:space="preserve">Bottom line</w:t>
      </w:r>
    </w:p>
    <w:p>
      <w:pPr>
        <w:pStyle w:val="FirstParagraph"/>
      </w:pPr>
      <w:r>
        <w:t xml:space="preserve">Corteva enters Q2 with good operating momentum, limited North American acreage surprise and several self-help levers—royalties, productivity, licensing and differentiated Crop Protection products. The most likely positive catalyst is a</w:t>
      </w:r>
      <w:r>
        <w:t xml:space="preserve"> </w:t>
      </w:r>
      <w:r>
        <w:rPr>
          <w:b/>
          <w:bCs/>
        </w:rPr>
        <w:t xml:space="preserve">full-year guidance increase now that the North American season is substantially known</w:t>
      </w:r>
      <w:r>
        <w:t xml:space="preserve">.</w:t>
      </w:r>
    </w:p>
    <w:p>
      <w:pPr>
        <w:pStyle w:val="BodyText"/>
      </w:pPr>
      <w:r>
        <w:t xml:space="preserve">However, the stock's rise to $90.80 means the hurdle is higher than the published quarterly consensus suggests. The most important outcome is not simply an EPS beat. It is whether Corteva can demonstrate that:</w:t>
      </w:r>
    </w:p>
    <w:p>
      <w:pPr>
        <w:pStyle w:val="Compact"/>
        <w:numPr>
          <w:ilvl w:val="0"/>
          <w:numId w:val="1017"/>
        </w:numPr>
      </w:pPr>
      <w:r>
        <w:t xml:space="preserve">first-half strength is operational rather than timing-driven,</w:t>
      </w:r>
    </w:p>
    <w:p>
      <w:pPr>
        <w:pStyle w:val="Compact"/>
        <w:numPr>
          <w:ilvl w:val="0"/>
          <w:numId w:val="1017"/>
        </w:numPr>
      </w:pPr>
      <w:r>
        <w:t xml:space="preserve">second-half Latin American assumptions remain achievable,</w:t>
      </w:r>
    </w:p>
    <w:p>
      <w:pPr>
        <w:pStyle w:val="Compact"/>
        <w:numPr>
          <w:ilvl w:val="0"/>
          <w:numId w:val="1017"/>
        </w:numPr>
      </w:pPr>
      <w:r>
        <w:t xml:space="preserve">higher energy and restructuring costs are contained, and</w:t>
      </w:r>
    </w:p>
    <w:p>
      <w:pPr>
        <w:pStyle w:val="Compact"/>
        <w:numPr>
          <w:ilvl w:val="0"/>
          <w:numId w:val="1017"/>
        </w:numPr>
      </w:pPr>
      <w:r>
        <w:t xml:space="preserve">Vylor and New Corteva are on course to emerge as two well-capitalized, independently attractive businesses in Q4.</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www.barchart.com/stocks/quotes/CTVA/earnings-estimates" TargetMode="External" /><Relationship Type="http://schemas.openxmlformats.org/officeDocument/2006/relationships/hyperlink" Id="rId11" Target="https://www.barchart.com/story/news/3204985/what-to-expect-from-corteva-s-next-quarterly-earnings-report" TargetMode="External" /><Relationship Type="http://schemas.openxmlformats.org/officeDocument/2006/relationships/hyperlink" Id="rId9" Target="https://www.corteva.com/resources/media-center/corteva-announces-dates-for-second-quarter-2026-earnings-release-and-webcast.html" TargetMode="External" /><Relationship Type="http://schemas.openxmlformats.org/officeDocument/2006/relationships/hyperlink" Id="rId10" Target="https://www.nass.usda.gov/Newsroom/2026/06-30-2026.php?utm_source=openai" TargetMode="External" /><Relationship Type="http://schemas.openxmlformats.org/officeDocument/2006/relationships/hyperlink" Id="rId23" Target="https://www.sec.gov/Archives/edgar/data/2128626/000119312526288697/ck0002128626-ex99_1.htm?utm_source=openai" TargetMode="External" /><Relationship Type="http://schemas.openxmlformats.org/officeDocument/2006/relationships/hyperlink" Id="rId22" Target="https://www.sec.gov/Archives/edgar/data/2128626/000119312526288697/ctva_form_10-12b.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www.barchart.com/stocks/quotes/CTVA/earnings-estimates" TargetMode="External" /><Relationship Type="http://schemas.openxmlformats.org/officeDocument/2006/relationships/hyperlink" Id="rId11" Target="https://www.barchart.com/story/news/3204985/what-to-expect-from-corteva-s-next-quarterly-earnings-report" TargetMode="External" /><Relationship Type="http://schemas.openxmlformats.org/officeDocument/2006/relationships/hyperlink" Id="rId9" Target="https://www.corteva.com/resources/media-center/corteva-announces-dates-for-second-quarter-2026-earnings-release-and-webcast.html" TargetMode="External" /><Relationship Type="http://schemas.openxmlformats.org/officeDocument/2006/relationships/hyperlink" Id="rId10" Target="https://www.nass.usda.gov/Newsroom/2026/06-30-2026.php?utm_source=openai" TargetMode="External" /><Relationship Type="http://schemas.openxmlformats.org/officeDocument/2006/relationships/hyperlink" Id="rId23" Target="https://www.sec.gov/Archives/edgar/data/2128626/000119312526288697/ck0002128626-ex99_1.htm?utm_source=openai" TargetMode="External" /><Relationship Type="http://schemas.openxmlformats.org/officeDocument/2006/relationships/hyperlink" Id="rId22" Target="https://www.sec.gov/Archives/edgar/data/2128626/000119312526288697/ctva_form_10-12b.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2026-07-29T19:46:05Z</dcterms:created>
  <dcterms:modified xsi:type="dcterms:W3CDTF">2026-07-29T19:46:05Z</dcterms:modified>
</cp:coreProperties>
</file>

<file path=docProps/custom.xml><?xml version="1.0" encoding="utf-8"?>
<Properties xmlns="http://schemas.openxmlformats.org/officeDocument/2006/custom-properties" xmlns:vt="http://schemas.openxmlformats.org/officeDocument/2006/docPropsVTypes"/>
</file>