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corteva-nyse-ctva--2q26-earnings-preview"/>
    <w:p>
      <w:pPr>
        <w:pStyle w:val="Heading1"/>
      </w:pPr>
      <w:r>
        <w:t xml:space="preserve">Corteva (NYSE: CTVA) — 2Q26 Earnings Preview</w:t>
      </w:r>
    </w:p>
    <w:p>
      <w:pPr>
        <w:pStyle w:val="FirstParagraph"/>
      </w:pPr>
      <w:r>
        <w:rPr>
          <w:b/>
          <w:bCs/>
        </w:rPr>
        <w:t xml:space="preserve">Event:</w:t>
      </w:r>
      <w:r>
        <w:t xml:space="preserve"> </w:t>
      </w:r>
      <w:r>
        <w:t xml:space="preserve">2Q26 earnings release and call on</w:t>
      </w:r>
      <w:r>
        <w:t xml:space="preserve"> </w:t>
      </w:r>
      <w:r>
        <w:rPr>
          <w:b/>
          <w:bCs/>
        </w:rPr>
        <w:t xml:space="preserve">Thursday, July 30, 2026</w:t>
      </w:r>
      <w:r>
        <w:br/>
      </w:r>
      <w:r>
        <w:rPr>
          <w:b/>
          <w:bCs/>
        </w:rPr>
        <w:t xml:space="preserve">Bottom line:</w:t>
      </w:r>
      <w:r>
        <w:t xml:space="preserve"> </w:t>
      </w:r>
      <w:r>
        <w:t xml:space="preserve">Corteva enters the print with operational momentum, but the bar is materially higher after a strong first quarter, constructive early-season commentary, and a roughly</w:t>
      </w:r>
      <w:r>
        <w:t xml:space="preserve"> </w:t>
      </w:r>
      <w:r>
        <w:rPr>
          <w:b/>
          <w:bCs/>
        </w:rPr>
        <w:t xml:space="preserve">14% stock-price increase since late April</w:t>
      </w:r>
      <w:r>
        <w:t xml:space="preserve">. The principal question is not simply whether 2Q results are strong—the seasonal setup implies they should be—but whether management raises its</w:t>
      </w:r>
      <w:r>
        <w:t xml:space="preserve"> </w:t>
      </w:r>
      <m:oMath>
        <m:r>
          <m:t>4.0</m:t>
        </m:r>
        <m:r>
          <m:rPr>
            <m:sty m:val="p"/>
          </m:rPr>
          <m:t>–</m:t>
        </m:r>
      </m:oMath>
      <w:r>
        <w:rPr>
          <w:b/>
          <w:bCs/>
        </w:rPr>
        <w:t xml:space="preserve">4.2 billion operating-EBITDA</w:t>
      </w:r>
      <w:r>
        <w:t xml:space="preserve"> </w:t>
      </w:r>
      <w:r>
        <w:t xml:space="preserve">and</w:t>
      </w:r>
      <w:r>
        <w:t xml:space="preserve"> </w:t>
      </w:r>
      <m:oMath>
        <m:r>
          <m:t>3.45</m:t>
        </m:r>
        <m:r>
          <m:rPr>
            <m:sty m:val="p"/>
          </m:rPr>
          <m:t>–</m:t>
        </m:r>
      </m:oMath>
      <w:r>
        <w:rPr>
          <w:b/>
          <w:bCs/>
        </w:rPr>
        <w:t xml:space="preserve">3.70 operating-EPS</w:t>
      </w:r>
      <w:r>
        <w:t xml:space="preserve"> </w:t>
      </w:r>
      <w:r>
        <w:t xml:space="preserve">outlooks while keeping the planned fourth-quarter separation on schedule.</w:t>
      </w:r>
    </w:p>
    <w:bookmarkStart w:id="10" w:name="what-matters-most"/>
    <w:p>
      <w:pPr>
        <w:pStyle w:val="Heading2"/>
      </w:pPr>
      <w:r>
        <w:t xml:space="preserve">What matters most</w:t>
      </w:r>
    </w:p>
    <w:bookmarkStart w:id="9" w:name="X39fd11d10d5ac028bbf05981e02a5227ef892ea"/>
    <w:p>
      <w:pPr>
        <w:pStyle w:val="Heading3"/>
      </w:pPr>
      <w:r>
        <w:t xml:space="preserve">1. Guidance is the headline catalyst</w:t>
      </w:r>
    </w:p>
    <w:p>
      <w:pPr>
        <w:pStyle w:val="FirstParagraph"/>
      </w:pPr>
      <w:r>
        <w:t xml:space="preserve">Corteva reaffirmed full-year guidance after 1Q26, but management also said the first half was shaping up</w:t>
      </w:r>
      <w:r>
        <w:t xml:space="preserve"> </w:t>
      </w:r>
      <w:r>
        <w:rPr>
          <w:b/>
          <w:bCs/>
        </w:rPr>
        <w:t xml:space="preserve">better than it had expected in February</w:t>
      </w:r>
      <w:r>
        <w:t xml:space="preserve">. At the same time, it deferred any formal outlook revision until after the Northern Hemisphere planting season, making 2Q the logical point for a reassessment.</w:t>
      </w:r>
    </w:p>
    <w:p>
      <w:pPr>
        <w:pStyle w:val="BodyText"/>
      </w:pPr>
      <w:r>
        <w:t xml:space="preserve">Current 2026 targets are: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 guidance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EBITDA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4.0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4.2B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EBITDA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22%–23%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3.45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3.70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Share repurchases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$500M in 1H26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Separation timing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4Q26</w:t>
            </w:r>
          </w:p>
        </w:tc>
      </w:tr>
    </w:tbl>
    <w:p>
      <w:pPr>
        <w:pStyle w:val="BodyText"/>
      </w:pPr>
      <w:r>
        <w:t xml:space="preserve">The setup appears favorable: 1Q organic sales rose 7%, operating EBITDA increased 21% to $1.44 billion, and operating EPS rose to $1.50 from $1.13 a year earlier. Management cited a favorable early North American season, improving royalty economics, modest tariff favorability, cost productivity, and currency as offsets to higher energy-related costs.</w:t>
      </w:r>
    </w:p>
    <w:p>
      <w:pPr>
        <w:pStyle w:val="BodyText"/>
      </w:pPr>
      <w:r>
        <w:rPr>
          <w:b/>
          <w:bCs/>
        </w:rPr>
        <w:t xml:space="preserve">Investor implication:</w:t>
      </w:r>
      <w:r>
        <w:t xml:space="preserve"> </w:t>
      </w:r>
      <w:r>
        <w:t xml:space="preserve">A guide raise—or an unusually confident reaffirmation with improved second-half framing—would validate the recent share-price strength. Conversely, retaining guidance without a stronger explanation could be viewed as conservative at best, or as a sign that Latin American crop protection, energy costs, or separation expenses are absorbing the upside.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3" w:name="core-operating-questions"/>
    <w:p>
      <w:pPr>
        <w:pStyle w:val="Heading2"/>
      </w:pPr>
      <w:r>
        <w:t xml:space="preserve">Core operating questions</w:t>
      </w:r>
    </w:p>
    <w:bookmarkStart w:id="11" w:name="X4d3b3fc0f71f5c702f12610809ca8a3a07f1989"/>
    <w:p>
      <w:pPr>
        <w:pStyle w:val="Heading3"/>
      </w:pPr>
      <w:r>
        <w:t xml:space="preserve">2. North American Seed: confirm price/mix and share resilience</w:t>
      </w:r>
    </w:p>
    <w:p>
      <w:pPr>
        <w:pStyle w:val="FirstParagraph"/>
      </w:pPr>
      <w:r>
        <w:t xml:space="preserve">Seed is Corteva’s central earnings engine in the second quarter. In 1Q, Seed organic sales grew 9%, including</w:t>
      </w:r>
      <w:r>
        <w:t xml:space="preserve"> </w:t>
      </w:r>
      <w:r>
        <w:rPr>
          <w:b/>
          <w:bCs/>
        </w:rPr>
        <w:t xml:space="preserve">3% price/mix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6% volume</w:t>
      </w:r>
      <w:r>
        <w:t xml:space="preserve"> </w:t>
      </w:r>
      <w:r>
        <w:t xml:space="preserve">growth. Corn was particularly strong, with reported sales up 15%, although management cautioned that part of the result reflected a delivery shift from 4Q25 and an early start to the season.</w:t>
      </w:r>
    </w:p>
    <w:p>
      <w:pPr>
        <w:pStyle w:val="BodyText"/>
      </w:pPr>
      <w:r>
        <w:t xml:space="preserve">For 2Q, investors should focus on: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Corn versus soybean mix.</w:t>
      </w:r>
      <w:r>
        <w:t xml:space="preserve"> </w:t>
      </w:r>
      <w:r>
        <w:t xml:space="preserve">Management expects a U.S. acreage shift toward soybeans, with roughly 95 million corn acres and 85 million soybean acres in its planning assumptions.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Seed price/mix.</w:t>
      </w:r>
      <w:r>
        <w:t xml:space="preserve"> </w:t>
      </w:r>
      <w:r>
        <w:t xml:space="preserve">The company expects low-single-digit Seed price/mix improvement for the first half. Confirmation would support its “price for value” strategy despite still-tight farm economics.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Market-share commentary.</w:t>
      </w:r>
      <w:r>
        <w:t xml:space="preserve"> </w:t>
      </w:r>
      <w:r>
        <w:t xml:space="preserve">Corteva has emphasized the competitiveness of its corn germplasm and its Enlist soybean platform. Evidence of continued share gains would be more valuable than an isolated quarterly volume beat.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Royalty inflection.</w:t>
      </w:r>
      <w:r>
        <w:t xml:space="preserve"> </w:t>
      </w:r>
      <w:r>
        <w:t xml:space="preserve">Management now expects Seed to become</w:t>
      </w:r>
      <w:r>
        <w:t xml:space="preserve"> </w:t>
      </w:r>
      <w:r>
        <w:rPr>
          <w:b/>
          <w:bCs/>
        </w:rPr>
        <w:t xml:space="preserve">slightly royalty-positive in 2026</w:t>
      </w:r>
      <w:r>
        <w:t xml:space="preserve">, rather than merely royalty-neutral. The Bayer agreement and higher proprietary-trait exposure are improving the cost structure and should be a structural margin tailwind.</w:t>
      </w:r>
    </w:p>
    <w:p>
      <w:pPr>
        <w:pStyle w:val="FirstParagraph"/>
      </w:pPr>
      <w:r>
        <w:t xml:space="preserve">The year-ago comparison is meaningful but demanding: in 2Q25, Seed sales increased 5%, and segment EBITDA rose 10% to $1.86 billion.</w:t>
      </w:r>
    </w:p>
    <w:bookmarkEnd w:id="11"/>
    <w:bookmarkStart w:id="12" w:name="Xddf8b2df3969806c6a6eb0e063d06593a371ab9"/>
    <w:p>
      <w:pPr>
        <w:pStyle w:val="Heading3"/>
      </w:pPr>
      <w:r>
        <w:t xml:space="preserve">3. Crop Protection: volume must overcome ongoing price pressure</w:t>
      </w:r>
    </w:p>
    <w:p>
      <w:pPr>
        <w:pStyle w:val="FirstParagraph"/>
      </w:pPr>
      <w:r>
        <w:t xml:space="preserve">Crop Protection was solid in 1Q, with organic sales up 4%, consisting of</w:t>
      </w:r>
      <w:r>
        <w:t xml:space="preserve"> </w:t>
      </w:r>
      <w:r>
        <w:rPr>
          <w:b/>
          <w:bCs/>
        </w:rPr>
        <w:t xml:space="preserve">6% volume growth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2% lower pricing</w:t>
      </w:r>
      <w:r>
        <w:t xml:space="preserve">. This is the most important tension in the investment case: Corteva is gaining volume in differentiated products, but industry pricing—especially in Latin America—remains competitive.</w:t>
      </w:r>
    </w:p>
    <w:p>
      <w:pPr>
        <w:pStyle w:val="BodyText"/>
      </w:pPr>
      <w:r>
        <w:t xml:space="preserve">Key 2Q markers: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Volume progression:</w:t>
      </w:r>
      <w:r>
        <w:t xml:space="preserve"> </w:t>
      </w:r>
      <w:r>
        <w:t xml:space="preserve">Management has guided to mid-single-digit full-year Crop Protection volume growth, with stronger momentum expected in the second half.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Latin America:</w:t>
      </w:r>
      <w:r>
        <w:t xml:space="preserve"> </w:t>
      </w:r>
      <w:r>
        <w:t xml:space="preserve">This remains both the main upside engine and the greatest source of forecast risk. Corteva expects the back-half volume step-up to be driven by Latin America, including biologicals, spinosyns, and new products.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Biologicals adoption:</w:t>
      </w:r>
      <w:r>
        <w:t xml:space="preserve"> </w:t>
      </w:r>
      <w:r>
        <w:t xml:space="preserve">Products such as Utrisha and BlueN are positioned as alternatives or complements to traditional nutrient inputs—an attractive proposition amid elevated fertilizer costs.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Pricing and gross margin:</w:t>
      </w:r>
      <w:r>
        <w:t xml:space="preserve"> </w:t>
      </w:r>
      <w:r>
        <w:t xml:space="preserve">The company still expects low-single-digit Crop Protection pricing declines. Investors should look for evidence that price deterioration is stabilizing and that productivity, mix, and input costs can sustain margins anyway.</w:t>
      </w:r>
    </w:p>
    <w:p>
      <w:pPr>
        <w:pStyle w:val="FirstParagraph"/>
      </w:pPr>
      <w:r>
        <w:t xml:space="preserve">For context, 2Q25 Crop Protection delivered 9% organic sales growth and 31% segment-EBITDA growth. That creates a high prior-year comparison, particularly in Latin America.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5" w:name="the-less-visible-swing-factors"/>
    <w:p>
      <w:pPr>
        <w:pStyle w:val="Heading2"/>
      </w:pPr>
      <w:r>
        <w:t xml:space="preserve">The less visible swing factors</w:t>
      </w:r>
    </w:p>
    <w:bookmarkStart w:id="14" w:name="X96d1c7c930d7ede37731003e392205405959a7c"/>
    <w:p>
      <w:pPr>
        <w:pStyle w:val="Heading3"/>
      </w:pPr>
      <w:r>
        <w:t xml:space="preserve">4. Cost, currency, energy, and credit</w:t>
      </w:r>
    </w:p>
    <w:p>
      <w:pPr>
        <w:pStyle w:val="FirstParagraph"/>
      </w:pPr>
      <w:r>
        <w:t xml:space="preserve">Corteva’s 1Q margin expansion was not solely revenue-driven. The company identified roughly</w:t>
      </w:r>
      <w:r>
        <w:t xml:space="preserve"> </w:t>
      </w:r>
      <w:r>
        <w:rPr>
          <w:b/>
          <w:bCs/>
        </w:rPr>
        <w:t xml:space="preserve">$70 million</w:t>
      </w:r>
      <w:r>
        <w:t xml:space="preserve"> </w:t>
      </w:r>
      <w:r>
        <w:t xml:space="preserve">of combined productivity and input-cost benefits across Seed and Crop Protection, while net royalty expense fell by another $30 million. This execution needs to continue.</w:t>
      </w:r>
    </w:p>
    <w:p>
      <w:pPr>
        <w:pStyle w:val="BodyText"/>
      </w:pPr>
      <w:r>
        <w:t xml:space="preserve">Offsetting items to watch: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Energy/oil:</w:t>
      </w:r>
      <w:r>
        <w:t xml:space="preserve"> </w:t>
      </w:r>
      <w:r>
        <w:t xml:space="preserve">Corteva has included a roughly</w:t>
      </w:r>
      <w:r>
        <w:t xml:space="preserve"> </w:t>
      </w:r>
      <w:r>
        <w:rPr>
          <w:b/>
          <w:bCs/>
        </w:rPr>
        <w:t xml:space="preserve">$40 million</w:t>
      </w:r>
      <w:r>
        <w:t xml:space="preserve"> </w:t>
      </w:r>
      <w:r>
        <w:t xml:space="preserve">full-year headwind from higher oil prices, concentrated in the second half as crop-protection inventory turns.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Tariffs:</w:t>
      </w:r>
      <w:r>
        <w:t xml:space="preserve"> </w:t>
      </w:r>
      <w:r>
        <w:t xml:space="preserve">Management said tariff effects were tracking slightly better than assumed in initial guidance.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Currency:</w:t>
      </w:r>
      <w:r>
        <w:t xml:space="preserve"> </w:t>
      </w:r>
      <w:r>
        <w:t xml:space="preserve">FX helped 1Q results and is expected to remain favorable, notably through euro and Brazilian-real exposure.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Bad debt and working capital:</w:t>
      </w:r>
      <w:r>
        <w:t xml:space="preserve"> </w:t>
      </w:r>
      <w:r>
        <w:t xml:space="preserve">Higher bad-debt expense affected 1Q SG&amp;A. Management said past-due receivables were in line with or slightly better than the prior year, but investor attention will be concentrated on Latin American credit conditions entering the major second-half selling season.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6" w:name="X9fc3332e8fad7c157ecff457c3b917f577a67d1"/>
    <w:p>
      <w:pPr>
        <w:pStyle w:val="Heading2"/>
      </w:pPr>
      <w:r>
        <w:t xml:space="preserve">Separation: increasingly central to valuation</w:t>
      </w:r>
    </w:p>
    <w:p>
      <w:pPr>
        <w:pStyle w:val="FirstParagraph"/>
      </w:pPr>
      <w:r>
        <w:t xml:space="preserve">CTVA is expected to separate in</w:t>
      </w:r>
      <w:r>
        <w:t xml:space="preserve"> </w:t>
      </w:r>
      <w:r>
        <w:rPr>
          <w:b/>
          <w:bCs/>
        </w:rPr>
        <w:t xml:space="preserve">4Q26</w:t>
      </w:r>
      <w:r>
        <w:t xml:space="preserve"> </w:t>
      </w:r>
      <w:r>
        <w:t xml:space="preserve">into: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Corteva / “New Corteva”</w:t>
      </w:r>
      <w:r>
        <w:t xml:space="preserve"> </w:t>
      </w:r>
      <w:r>
        <w:t xml:space="preserve">— the Crop Protection business; and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Vylor</w:t>
      </w:r>
      <w:r>
        <w:t xml:space="preserve"> </w:t>
      </w:r>
      <w:r>
        <w:t xml:space="preserve">— the Seed and genetics business.</w:t>
      </w:r>
    </w:p>
    <w:p>
      <w:pPr>
        <w:pStyle w:val="FirstParagraph"/>
      </w:pPr>
      <w:r>
        <w:t xml:space="preserve">The public Form 10 for Vylor was filed in late June, and the post-separation boards have been announced. Management had initially estimated approximately</w:t>
      </w:r>
      <w:r>
        <w:t xml:space="preserve"> </w:t>
      </w:r>
      <w:r>
        <w:rPr>
          <w:b/>
          <w:bCs/>
        </w:rPr>
        <w:t xml:space="preserve">$100 million of net dis-synergies</w:t>
      </w:r>
      <w:r>
        <w:t xml:space="preserve">, including $50 million embedded in 2026 guidance, but subsequently said it was tracking “pretty significantly favorable” to that initial estimate.</w:t>
      </w:r>
    </w:p>
    <w:p>
      <w:pPr>
        <w:pStyle w:val="BodyText"/>
      </w:pPr>
      <w:r>
        <w:t xml:space="preserve">This earnings call should offer an important update on:</w:t>
      </w:r>
    </w:p>
    <w:p>
      <w:pPr>
        <w:pStyle w:val="Compact"/>
        <w:numPr>
          <w:ilvl w:val="0"/>
          <w:numId w:val="1005"/>
        </w:numPr>
      </w:pPr>
      <w:r>
        <w:t xml:space="preserve">The revised net dis-synergy estimate;</w:t>
      </w:r>
    </w:p>
    <w:p>
      <w:pPr>
        <w:pStyle w:val="Compact"/>
        <w:numPr>
          <w:ilvl w:val="0"/>
          <w:numId w:val="1005"/>
        </w:numPr>
      </w:pPr>
      <w:r>
        <w:t xml:space="preserve">One-time separation costs, previously estimated at approximately</w:t>
      </w:r>
      <w:r>
        <w:t xml:space="preserve"> </w:t>
      </w:r>
      <w:r>
        <w:rPr>
          <w:b/>
          <w:bCs/>
        </w:rPr>
        <w:t xml:space="preserve">$350 million</w:t>
      </w:r>
      <w:r>
        <w:t xml:space="preserve">, primarily incurred in 2H26;</w:t>
      </w:r>
    </w:p>
    <w:p>
      <w:pPr>
        <w:pStyle w:val="Compact"/>
        <w:numPr>
          <w:ilvl w:val="0"/>
          <w:numId w:val="1005"/>
        </w:numPr>
      </w:pPr>
      <w:r>
        <w:t xml:space="preserve">Capital structure, including the previously announced</w:t>
      </w:r>
      <w:r>
        <w:t xml:space="preserve"> </w:t>
      </w:r>
      <w:r>
        <w:rPr>
          <w:b/>
          <w:bCs/>
        </w:rPr>
        <w:t xml:space="preserve">$1.5 billion discretionary U.S. pension contribution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Remaining milestones ahead of the planned fourth-quarter spin; and</w:t>
      </w:r>
    </w:p>
    <w:p>
      <w:pPr>
        <w:pStyle w:val="Compact"/>
        <w:numPr>
          <w:ilvl w:val="0"/>
          <w:numId w:val="1005"/>
        </w:numPr>
      </w:pPr>
      <w:r>
        <w:t xml:space="preserve">What investors should expect from the September 15 Investor Day, where both businesses are slated to provide multiyear strategy and financial frameworks.</w:t>
      </w:r>
    </w:p>
    <w:p>
      <w:pPr>
        <w:pStyle w:val="FirstParagraph"/>
      </w:pPr>
      <w:r>
        <w:rPr>
          <w:b/>
          <w:bCs/>
        </w:rPr>
        <w:t xml:space="preserve">Why it matters now:</w:t>
      </w:r>
      <w:r>
        <w:t xml:space="preserve"> </w:t>
      </w:r>
      <w:r>
        <w:t xml:space="preserve">The share price increasingly reflects not only 2026 execution, but also the possibility that separate Seed/genetics and Crop Protection companies receive distinct—and potentially higher—valuation frameworks.</w:t>
      </w:r>
    </w:p>
    <w:p>
      <w:r>
        <w:pict>
          <v:rect style="width:0;height:1.5pt" o:hralign="center" o:hrstd="t" o:hr="t"/>
        </w:pict>
      </w:r>
    </w:p>
    <w:bookmarkEnd w:id="16"/>
    <w:bookmarkStart w:id="20" w:name="bull-base-and-bear-read-throughs"/>
    <w:p>
      <w:pPr>
        <w:pStyle w:val="Heading2"/>
      </w:pPr>
      <w:r>
        <w:t xml:space="preserve">Bull, base, and bear read-throughs</w:t>
      </w:r>
    </w:p>
    <w:bookmarkStart w:id="17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06"/>
        </w:numPr>
      </w:pPr>
      <w:r>
        <w:t xml:space="preserve">Strong North American Seed price/mix and share;</w:t>
      </w:r>
    </w:p>
    <w:p>
      <w:pPr>
        <w:pStyle w:val="Compact"/>
        <w:numPr>
          <w:ilvl w:val="0"/>
          <w:numId w:val="1006"/>
        </w:numPr>
      </w:pPr>
      <w:r>
        <w:t xml:space="preserve">Crop Protection volume remains robust despite pricing pressure;</w:t>
      </w:r>
    </w:p>
    <w:p>
      <w:pPr>
        <w:pStyle w:val="Compact"/>
        <w:numPr>
          <w:ilvl w:val="0"/>
          <w:numId w:val="1006"/>
        </w:numPr>
      </w:pPr>
      <w:r>
        <w:t xml:space="preserve">Full-year EBITDA/EPS guidance is raised;</w:t>
      </w:r>
    </w:p>
    <w:p>
      <w:pPr>
        <w:pStyle w:val="Compact"/>
        <w:numPr>
          <w:ilvl w:val="0"/>
          <w:numId w:val="1006"/>
        </w:numPr>
      </w:pPr>
      <w:r>
        <w:t xml:space="preserve">Royalty-positive Seed economics prove more meaningful than expected;</w:t>
      </w:r>
    </w:p>
    <w:p>
      <w:pPr>
        <w:pStyle w:val="Compact"/>
        <w:numPr>
          <w:ilvl w:val="0"/>
          <w:numId w:val="1006"/>
        </w:numPr>
      </w:pPr>
      <w:r>
        <w:t xml:space="preserve">Separation dis-synergies are reduced materially from the original $100 million estimate.</w:t>
      </w:r>
    </w:p>
    <w:bookmarkEnd w:id="17"/>
    <w:bookmarkStart w:id="18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07"/>
        </w:numPr>
      </w:pPr>
      <w:r>
        <w:t xml:space="preserve">Strong seasonally weighted 2Q results;</w:t>
      </w:r>
    </w:p>
    <w:p>
      <w:pPr>
        <w:pStyle w:val="Compact"/>
        <w:numPr>
          <w:ilvl w:val="0"/>
          <w:numId w:val="1007"/>
        </w:numPr>
      </w:pPr>
      <w:r>
        <w:t xml:space="preserve">Guidance maintained, with the company pointing to early-season strength but preserving caution around Latin America, oil, and the second half;</w:t>
      </w:r>
    </w:p>
    <w:p>
      <w:pPr>
        <w:pStyle w:val="Compact"/>
        <w:numPr>
          <w:ilvl w:val="0"/>
          <w:numId w:val="1007"/>
        </w:numPr>
      </w:pPr>
      <w:r>
        <w:t xml:space="preserve">Continued Seed margin improvement offsets Crop Protection price pressure;</w:t>
      </w:r>
    </w:p>
    <w:p>
      <w:pPr>
        <w:pStyle w:val="Compact"/>
        <w:numPr>
          <w:ilvl w:val="0"/>
          <w:numId w:val="1007"/>
        </w:numPr>
      </w:pPr>
      <w:r>
        <w:t xml:space="preserve">Separation remains on schedule for 4Q26.</w:t>
      </w:r>
    </w:p>
    <w:bookmarkEnd w:id="18"/>
    <w:bookmarkStart w:id="19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08"/>
        </w:numPr>
      </w:pPr>
      <w:r>
        <w:t xml:space="preserve">A guide hold paired with weaker-than-expected second-half commentary;</w:t>
      </w:r>
    </w:p>
    <w:p>
      <w:pPr>
        <w:pStyle w:val="Compact"/>
        <w:numPr>
          <w:ilvl w:val="0"/>
          <w:numId w:val="1008"/>
        </w:numPr>
      </w:pPr>
      <w:r>
        <w:t xml:space="preserve">Soft Seed mix or evidence that acreage shifts are pressuring the high-margin corn franchise;</w:t>
      </w:r>
    </w:p>
    <w:p>
      <w:pPr>
        <w:pStyle w:val="Compact"/>
        <w:numPr>
          <w:ilvl w:val="0"/>
          <w:numId w:val="1008"/>
        </w:numPr>
      </w:pPr>
      <w:r>
        <w:t xml:space="preserve">Crop Protection pricing worsens or Latin American receivables deteriorate;</w:t>
      </w:r>
    </w:p>
    <w:p>
      <w:pPr>
        <w:pStyle w:val="Compact"/>
        <w:numPr>
          <w:ilvl w:val="0"/>
          <w:numId w:val="1008"/>
        </w:numPr>
      </w:pPr>
      <w:r>
        <w:t xml:space="preserve">Higher oil/separation costs consume operational upside;</w:t>
      </w:r>
    </w:p>
    <w:p>
      <w:pPr>
        <w:pStyle w:val="Compact"/>
        <w:numPr>
          <w:ilvl w:val="0"/>
          <w:numId w:val="1008"/>
        </w:numPr>
      </w:pPr>
      <w:r>
        <w:t xml:space="preserve">Dis-synergy or capital-structure costs increase.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1" w:name="what-to-listen-for-on-the-call"/>
    <w:p>
      <w:pPr>
        <w:pStyle w:val="Heading2"/>
      </w:pPr>
      <w:r>
        <w:t xml:space="preserve">What to listen for on the call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Will management raise 2026 operating EBITDA or EPS guidance?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What were actual North American corn, soybean, and Seed price/mix outcomes?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Is Crop Protection pricing stabilizing, especially in Brazil and broader Latin America?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Does management still expect a meaningful second-half Crop Protection volume acceleration?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Has the expected separation dis-synergy estimate declined from $100 million?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What is the latest on one-time separation spending, pension funding, and post-spin capital allocation?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How much upside is now embedded in royalty income following the Bayer agreement?</w:t>
      </w:r>
    </w:p>
    <w:bookmarkEnd w:id="21"/>
    <w:bookmarkStart w:id="22" w:name="takeaway"/>
    <w:p>
      <w:pPr>
        <w:pStyle w:val="Heading2"/>
      </w:pPr>
      <w:r>
        <w:t xml:space="preserve">Takeaway</w:t>
      </w:r>
    </w:p>
    <w:p>
      <w:pPr>
        <w:pStyle w:val="FirstParagraph"/>
      </w:pPr>
      <w:r>
        <w:t xml:space="preserve">Corteva has earned a more demanding setup going into July 30. The fundamental story remains attractive: differentiated Seed technology, a quickly improving royalty profile, productivity execution, and a potentially value-unlocking separation. But after a strong 1Q and a stock rally into the event, investors likely need more than a routine beat. The cleanest positive outcome is</w:t>
      </w:r>
      <w:r>
        <w:t xml:space="preserve"> </w:t>
      </w:r>
      <w:r>
        <w:rPr>
          <w:b/>
          <w:bCs/>
        </w:rPr>
        <w:t xml:space="preserve">strong 1H execution plus a higher 2026 outlook and lower expected separation friction</w:t>
      </w:r>
      <w:r>
        <w:t xml:space="preserve">.</w:t>
      </w:r>
    </w:p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2026-07-29T19:44:42Z</dcterms:created>
  <dcterms:modified xsi:type="dcterms:W3CDTF">2026-07-29T19:44:42Z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