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Corteva, Inc. (CTVA)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Corteva, Inc.</w:t>
            </w:r>
          </w:p>
        </w:tc>
        <w:tc>
          <w:tcPr>
            <w:tcW w:type="dxa" w:w="2160"/>
          </w:tcPr>
          <w:p>
            <w:r>
              <w:rPr>
                <w:rFonts w:ascii="Calibri" w:hAnsi="Calibri"/>
                <w:b/>
                <w:sz w:val="22"/>
              </w:rPr>
              <w:t>Ticker</w:t>
            </w:r>
          </w:p>
        </w:tc>
        <w:tc>
          <w:tcPr>
            <w:tcW w:type="dxa" w:w="2160"/>
          </w:tcPr>
          <w:p>
            <w:r>
              <w:rPr>
                <w:rFonts w:ascii="Calibri" w:hAnsi="Calibri"/>
                <w:sz w:val="22"/>
              </w:rPr>
              <w:t>CTVA US</w:t>
            </w:r>
          </w:p>
        </w:tc>
      </w:tr>
      <w:tr>
        <w:tc>
          <w:tcPr>
            <w:tcW w:type="dxa" w:w="2160"/>
          </w:tcPr>
          <w:p>
            <w:r>
              <w:rPr>
                <w:rFonts w:ascii="Calibri" w:hAnsi="Calibri"/>
                <w:b/>
                <w:sz w:val="22"/>
              </w:rPr>
              <w:t>Earnings Date</w:t>
            </w:r>
          </w:p>
        </w:tc>
        <w:tc>
          <w:tcPr>
            <w:tcW w:type="dxa" w:w="2160"/>
          </w:tcPr>
          <w:p>
            <w:r>
              <w:rPr>
                <w:rFonts w:ascii="Calibri" w:hAnsi="Calibri"/>
                <w:sz w:val="22"/>
              </w:rPr>
              <w:t>July 31, 2026 (9:00 AM ET)</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July 29, 2026</w:t>
            </w:r>
          </w:p>
        </w:tc>
        <w:tc>
          <w:tcPr>
            <w:tcW w:type="dxa" w:w="2160"/>
          </w:tcPr>
          <w:p>
            <w:r>
              <w:rPr>
                <w:rFonts w:ascii="Calibri" w:hAnsi="Calibri"/>
                <w:b/>
                <w:sz w:val="22"/>
              </w:rPr>
              <w:t>Last Earnings</w:t>
            </w:r>
          </w:p>
        </w:tc>
        <w:tc>
          <w:tcPr>
            <w:tcW w:type="dxa" w:w="2160"/>
          </w:tcPr>
          <w:p>
            <w:r>
              <w:rPr>
                <w:rFonts w:ascii="Calibri" w:hAnsi="Calibri"/>
                <w:sz w:val="22"/>
              </w:rPr>
              <w:t>May 5–6, 2026 (Q1 2026)</w:t>
            </w:r>
          </w:p>
        </w:tc>
      </w:tr>
      <w:tr>
        <w:tc>
          <w:tcPr>
            <w:tcW w:type="dxa" w:w="2160"/>
          </w:tcPr>
          <w:p>
            <w:r>
              <w:rPr>
                <w:rFonts w:ascii="Calibri" w:hAnsi="Calibri"/>
                <w:b/>
                <w:sz w:val="22"/>
              </w:rPr>
              <w:t>Sector ETF</w:t>
            </w:r>
          </w:p>
        </w:tc>
        <w:tc>
          <w:tcPr>
            <w:tcW w:type="dxa" w:w="2160"/>
          </w:tcPr>
          <w:p>
            <w:r>
              <w:rPr>
                <w:rFonts w:ascii="Calibri" w:hAnsi="Calibri"/>
                <w:sz w:val="22"/>
              </w:rPr>
              <w:t>MOO (VanEck Agribusiness ETF)</w:t>
            </w:r>
          </w:p>
        </w:tc>
        <w:tc>
          <w:tcPr>
            <w:tcW w:type="dxa" w:w="2160"/>
          </w:tcPr>
          <w:p>
            <w:r>
              <w:rPr>
                <w:rFonts w:ascii="Calibri" w:hAnsi="Calibri"/>
                <w:b/>
                <w:sz w:val="22"/>
              </w:rPr>
              <w:t>Primary Valuation KPI</w:t>
            </w:r>
          </w:p>
        </w:tc>
        <w:tc>
          <w:tcPr>
            <w:tcW w:type="dxa" w:w="2160"/>
          </w:tcPr>
          <w:p>
            <w:r>
              <w:rPr>
                <w:rFonts w:ascii="Calibri" w:hAnsi="Calibri"/>
                <w:sz w:val="22"/>
              </w:rPr>
              <w:t>Operating EBITDA / EV-EBITDA</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constructive but not without risk — </w:t>
      </w:r>
      <w:r>
        <w:rPr>
          <w:rFonts w:ascii="Calibri" w:hAnsi="Calibri"/>
          <w:b/>
          <w:color w:val="525866"/>
          <w:sz w:val="22"/>
        </w:rPr>
        <w:t>consensus Operating EBITDA of ~$2.22B implies ~3% YoY growth</w:t>
      </w:r>
      <w:r>
        <w:rPr>
          <w:rFonts w:ascii="Calibri" w:hAnsi="Calibri"/>
          <w:color w:val="525866"/>
          <w:sz w:val="22"/>
        </w:rPr>
        <w:t xml:space="preserve"> against a Q2 2025 actual of $2.16B, a bar that looks achievable given Q1’s strong momentum, but the back-half oil/input cost headwind and Latin America uncertainty are the key swing factors.</w:t>
      </w:r>
    </w:p>
    <w:p>
      <w:r>
        <w:rPr>
          <w:rFonts w:ascii="Calibri" w:hAnsi="Calibri"/>
          <w:color w:val="525866"/>
          <w:sz w:val="22"/>
        </w:rPr>
        <w:t xml:space="preserve">Heading into the Q2 2026 print, Corteva’s setup is modestly favorable: the company delivered a strong Q1 beat (Operating EBITDA +21% YoY, Operating EPS of $1.50 vs. consensus of ~$1.18), and management explicitly noted the first half was “playing out a little better than expected.” Consensus Operating EBITDA for Q2 sits at approximately $2.22B (Visible Alpha), broadly in line with the prior-year Q2 actual of $2.16B, suggesting the Street is not pricing in a dramatic acceleration — a relatively achievable bar. Guidance was reaffirmed at the $4.0–$4.2B Operating EBITDA range for FY2026 after Q1, and management’s tone at the May BMO Farm to Market Conference and June Wolfe Conference remained confident, with dis-synergy estimates trending “pretty significantly favorable” to the initial $100M net estimate. Estimate revisions have been modestly negative since Q1 earnings (Operating EPS for Q2 drifted from ~$2.24 to ~$1.99 in the trailing months per revision history), reflecting the market’s caution around back-half oil/input cost headwinds ($40M guided headwind) and Latin America acreage uncertainty — but the stock has rallied sharply since Q1 (from ~$78 to ~$90), suggesting the market is already pricing in execution confidence around the separation. The single biggest wildcard is </w:t>
      </w:r>
      <w:r>
        <w:rPr>
          <w:rFonts w:ascii="Calibri" w:hAnsi="Calibri"/>
          <w:b/>
          <w:color w:val="525866"/>
          <w:sz w:val="22"/>
        </w:rPr>
        <w:t>Latin America CP volumes and pricing in H2</w:t>
      </w:r>
      <w:r>
        <w:rPr>
          <w:rFonts w:ascii="Calibri" w:hAnsi="Calibri"/>
          <w:color w:val="525866"/>
          <w:sz w:val="22"/>
        </w:rPr>
        <w:t>: FMC’s Q2 2026 results (reported today, July 29) showed a 17% revenue decline and a full-year EBITDA guidance cut, signaling a more challenging CP market environment that could weigh on CTVA’s own H2 CP outlook and investor sentiment heading into the call.</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Dimension</w:t>
            </w:r>
          </w:p>
        </w:tc>
        <w:tc>
          <w:tcPr>
            <w:tcW w:type="dxa" w:w="4320"/>
            <w:shd w:val="clear" w:color="auto" w:fill="3B4259"/>
          </w:tcPr>
          <w:p>
            <w:r>
              <w:rPr>
                <w:rFonts w:ascii="Calibri" w:hAnsi="Calibri"/>
                <w:b/>
                <w:color w:val="FFFFFF"/>
                <w:sz w:val="22"/>
              </w:rPr>
              <w:t>Assessment</w:t>
            </w:r>
          </w:p>
        </w:tc>
      </w:tr>
      <w:tr>
        <w:tc>
          <w:tcPr>
            <w:tcW w:type="dxa" w:w="4320"/>
          </w:tcPr>
          <w:p>
            <w:r>
              <w:rPr>
                <w:rFonts w:ascii="Calibri" w:hAnsi="Calibri"/>
                <w:sz w:val="22"/>
              </w:rPr>
              <w:t>Bar (Consensus)</w:t>
            </w:r>
          </w:p>
        </w:tc>
        <w:tc>
          <w:tcPr>
            <w:tcW w:type="dxa" w:w="4320"/>
          </w:tcPr>
          <w:p>
            <w:r>
              <w:rPr>
                <w:rFonts w:ascii="Calibri" w:hAnsi="Calibri"/>
                <w:sz w:val="22"/>
              </w:rPr>
              <w:t>Achievable but not low. Q2 consensus Operating EBITDA ~$2.22B vs. Q2 2025 actual $2.16B (+3% YoY). Operating EPS consensus ~$2.25 vs. Q2 2025 actual $2.20.</w:t>
            </w:r>
          </w:p>
        </w:tc>
      </w:tr>
      <w:tr>
        <w:tc>
          <w:tcPr>
            <w:tcW w:type="dxa" w:w="4320"/>
          </w:tcPr>
          <w:p>
            <w:r>
              <w:rPr>
                <w:rFonts w:ascii="Calibri" w:hAnsi="Calibri"/>
                <w:sz w:val="22"/>
              </w:rPr>
              <w:t>Guidance / Tone</w:t>
            </w:r>
          </w:p>
        </w:tc>
        <w:tc>
          <w:tcPr>
            <w:tcW w:type="dxa" w:w="4320"/>
          </w:tcPr>
          <w:p>
            <w:r>
              <w:rPr>
                <w:rFonts w:ascii="Calibri" w:hAnsi="Calibri"/>
                <w:sz w:val="22"/>
              </w:rPr>
              <w:t>Unchanged. FY2026 Operating EBITDA $4.0–$4.2B and Operating EPS $3.45–$3.70 reaffirmed at Q1. Post-Q1 conference appearances (BMO May 14, Wolfe June 17) maintained confident tone; dis-synergy estimate upgraded to ‘pretty significantly favorable’ vs. initial $100M net.</w:t>
            </w:r>
          </w:p>
        </w:tc>
      </w:tr>
      <w:tr>
        <w:tc>
          <w:tcPr>
            <w:tcW w:type="dxa" w:w="4320"/>
          </w:tcPr>
          <w:p>
            <w:r>
              <w:rPr>
                <w:rFonts w:ascii="Calibri" w:hAnsi="Calibri"/>
                <w:sz w:val="22"/>
              </w:rPr>
              <w:t>Estimate Trajectory</w:t>
            </w:r>
          </w:p>
        </w:tc>
        <w:tc>
          <w:tcPr>
            <w:tcW w:type="dxa" w:w="4320"/>
          </w:tcPr>
          <w:p>
            <w:r>
              <w:rPr>
                <w:rFonts w:ascii="Calibri" w:hAnsi="Calibri"/>
                <w:sz w:val="22"/>
              </w:rPr>
              <w:t>Modestly negative drift since Q1 print. Q2 Operating EPS consensus moved from ~$2.24 (post-Q1 baseline) to ~$1.99 in recent months before recovering slightly to ~$2.25 current. FY2026 Operating EPS consensus ~$3.78 vs. $3.74 at Q1 baseline — slight upward drift. Revisions tracking guidance but with caution on H2 risks.</w:t>
            </w:r>
          </w:p>
        </w:tc>
      </w:tr>
      <w:tr>
        <w:tc>
          <w:tcPr>
            <w:tcW w:type="dxa" w:w="4320"/>
          </w:tcPr>
          <w:p>
            <w:r>
              <w:rPr>
                <w:rFonts w:ascii="Calibri" w:hAnsi="Calibri"/>
                <w:sz w:val="22"/>
              </w:rPr>
              <w:t>Stock Setup</w:t>
            </w:r>
          </w:p>
        </w:tc>
        <w:tc>
          <w:tcPr>
            <w:tcW w:type="dxa" w:w="4320"/>
          </w:tcPr>
          <w:p>
            <w:r>
              <w:rPr>
                <w:rFonts w:ascii="Calibri" w:hAnsi="Calibri"/>
                <w:sz w:val="22"/>
              </w:rPr>
              <w:t>Stock up ~+15% since Q1 earnings (from ~$78 to ~$90), outperforming peers. Multiple has expanded, suggesting the market is pricing in separation optionality and royalty journey progress. A beat-and-raise would be needed to sustain the move; a miss or guidance cut would be punished.</w:t>
            </w:r>
          </w:p>
        </w:tc>
      </w:tr>
      <w:tr>
        <w:tc>
          <w:tcPr>
            <w:tcW w:type="dxa" w:w="4320"/>
          </w:tcPr>
          <w:p>
            <w:r>
              <w:rPr>
                <w:rFonts w:ascii="Calibri" w:hAnsi="Calibri"/>
                <w:sz w:val="22"/>
              </w:rPr>
              <w:t>Wildcard</w:t>
            </w:r>
          </w:p>
        </w:tc>
        <w:tc>
          <w:tcPr>
            <w:tcW w:type="dxa" w:w="4320"/>
          </w:tcPr>
          <w:p>
            <w:r>
              <w:rPr>
                <w:rFonts w:ascii="Calibri" w:hAnsi="Calibri"/>
                <w:sz w:val="22"/>
              </w:rPr>
              <w:t>FMC Q2 2026 results (reported July 29): FMC cut full-year EBITDA guidance to $620–$680M from $670–$730M, citing ‘more challenging operating environment’ and weaker customer purchasing patterns. This is a direct negative read-through for CTVA’s CP segment and could reset H2 expectations on the call.</w:t>
            </w:r>
          </w:p>
        </w:tc>
      </w:tr>
    </w:tbl>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modest bar on Operating EBITDA (+3% YoY) and a more demanding bar on Operating EPS (+2% YoY). The bigger swing factor is the </w:t>
      </w:r>
    </w:p>
    <w:p>
      <w:r>
        <w:rPr>
          <w:rFonts w:ascii="Calibri" w:hAnsi="Calibri"/>
          <w:b/>
          <w:color w:val="525866"/>
          <w:sz w:val="22"/>
        </w:rPr>
        <w:t>Crop Protection segment</w:t>
      </w:r>
      <w:r>
        <w:rPr>
          <w:rFonts w:ascii="Calibri" w:hAnsi="Calibri"/>
          <w:color w:val="525866"/>
          <w:sz w:val="22"/>
        </w:rPr>
        <w:t xml:space="preserve"> — consensus expects CP revenue of ~$1.95B (+2% YoY), but FMC’s Q2 miss and guidance cut today introduce downside risk to that assumption. Seed consensus of ~$4.63B (+2% YoY) looks more achievable given the strong North America season and royalty tailwind.</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Consensus vs. Guidance Δ</w:t>
            </w:r>
          </w:p>
        </w:tc>
      </w:tr>
      <w:tr>
        <w:tc>
          <w:tcPr>
            <w:tcW w:type="dxa" w:w="1234"/>
          </w:tcPr>
          <w:p>
            <w:r>
              <w:rPr>
                <w:rFonts w:ascii="Calibri" w:hAnsi="Calibri"/>
                <w:sz w:val="22"/>
              </w:rPr>
              <w:t>Total Revenue ($M)</w:t>
            </w:r>
          </w:p>
        </w:tc>
        <w:tc>
          <w:tcPr>
            <w:tcW w:type="dxa" w:w="1234"/>
          </w:tcPr>
          <w:p>
            <w:r>
              <w:rPr>
                <w:rFonts w:ascii="Calibri" w:hAnsi="Calibri"/>
                <w:sz w:val="22"/>
              </w:rPr>
              <w:t>$4,905M</w:t>
            </w:r>
          </w:p>
        </w:tc>
        <w:tc>
          <w:tcPr>
            <w:tcW w:type="dxa" w:w="1234"/>
          </w:tcPr>
          <w:p>
            <w:r>
              <w:rPr>
                <w:rFonts w:ascii="Calibri" w:hAnsi="Calibri"/>
                <w:sz w:val="22"/>
              </w:rPr>
              <w:t>$6,456M</w:t>
            </w:r>
          </w:p>
        </w:tc>
        <w:tc>
          <w:tcPr>
            <w:tcW w:type="dxa" w:w="1234"/>
          </w:tcPr>
          <w:p>
            <w:r>
              <w:rPr>
                <w:rFonts w:ascii="Calibri" w:hAnsi="Calibri"/>
                <w:sz w:val="22"/>
              </w:rPr>
              <w:t>$6,589M</w:t>
            </w:r>
          </w:p>
        </w:tc>
        <w:tc>
          <w:tcPr>
            <w:tcW w:type="dxa" w:w="1234"/>
          </w:tcPr>
          <w:p>
            <w:r>
              <w:rPr>
                <w:rFonts w:ascii="Calibri" w:hAnsi="Calibri"/>
                <w:sz w:val="22"/>
              </w:rPr>
              <w:t>+2.1%</w:t>
            </w:r>
          </w:p>
        </w:tc>
        <w:tc>
          <w:tcPr>
            <w:tcW w:type="dxa" w:w="1234"/>
          </w:tcPr>
          <w:p>
            <w:r>
              <w:rPr>
                <w:rFonts w:ascii="Calibri" w:hAnsi="Calibri"/>
                <w:sz w:val="22"/>
              </w:rPr>
              <w:t>~$18,329M (FY)</w:t>
            </w:r>
          </w:p>
        </w:tc>
        <w:tc>
          <w:tcPr>
            <w:tcW w:type="dxa" w:w="1234"/>
          </w:tcPr>
          <w:p>
            <w:r>
              <w:rPr>
                <w:rFonts w:ascii="Calibri" w:hAnsi="Calibri"/>
                <w:sz w:val="22"/>
              </w:rPr>
              <w:t>N/A (no Q2-specific guidance)</w:t>
            </w:r>
          </w:p>
        </w:tc>
      </w:tr>
      <w:tr>
        <w:tc>
          <w:tcPr>
            <w:tcW w:type="dxa" w:w="1234"/>
          </w:tcPr>
          <w:p>
            <w:r>
              <w:rPr>
                <w:rFonts w:ascii="Calibri" w:hAnsi="Calibri"/>
                <w:sz w:val="22"/>
              </w:rPr>
              <w:t>Operating EBITDA ($M)</w:t>
            </w:r>
          </w:p>
        </w:tc>
        <w:tc>
          <w:tcPr>
            <w:tcW w:type="dxa" w:w="1234"/>
          </w:tcPr>
          <w:p>
            <w:r>
              <w:rPr>
                <w:rFonts w:ascii="Calibri" w:hAnsi="Calibri"/>
                <w:sz w:val="22"/>
              </w:rPr>
              <w:t>$1,438M</w:t>
            </w:r>
          </w:p>
        </w:tc>
        <w:tc>
          <w:tcPr>
            <w:tcW w:type="dxa" w:w="1234"/>
          </w:tcPr>
          <w:p>
            <w:r>
              <w:rPr>
                <w:rFonts w:ascii="Calibri" w:hAnsi="Calibri"/>
                <w:sz w:val="22"/>
              </w:rPr>
              <w:t>$2,164M</w:t>
            </w:r>
          </w:p>
        </w:tc>
        <w:tc>
          <w:tcPr>
            <w:tcW w:type="dxa" w:w="1234"/>
          </w:tcPr>
          <w:p>
            <w:r>
              <w:rPr>
                <w:rFonts w:ascii="Calibri" w:hAnsi="Calibri"/>
                <w:sz w:val="22"/>
              </w:rPr>
              <w:t>$2,223M</w:t>
            </w:r>
          </w:p>
        </w:tc>
        <w:tc>
          <w:tcPr>
            <w:tcW w:type="dxa" w:w="1234"/>
          </w:tcPr>
          <w:p>
            <w:r>
              <w:rPr>
                <w:rFonts w:ascii="Calibri" w:hAnsi="Calibri"/>
                <w:sz w:val="22"/>
              </w:rPr>
              <w:t>+2.7%</w:t>
            </w:r>
          </w:p>
        </w:tc>
        <w:tc>
          <w:tcPr>
            <w:tcW w:type="dxa" w:w="1234"/>
          </w:tcPr>
          <w:p>
            <w:r>
              <w:rPr>
                <w:rFonts w:ascii="Calibri" w:hAnsi="Calibri"/>
                <w:sz w:val="22"/>
              </w:rPr>
              <w:t>$4,100M midpoint</w:t>
            </w:r>
          </w:p>
        </w:tc>
        <w:tc>
          <w:tcPr>
            <w:tcW w:type="dxa" w:w="1234"/>
          </w:tcPr>
          <w:p>
            <w:r>
              <w:rPr>
                <w:rFonts w:ascii="Calibri" w:hAnsi="Calibri"/>
                <w:sz w:val="22"/>
              </w:rPr>
              <w:t>Consensus ~$4,203M vs. $4,100M midpoint; +2.5% above midpoint</w:t>
            </w:r>
          </w:p>
        </w:tc>
      </w:tr>
      <w:tr>
        <w:tc>
          <w:tcPr>
            <w:tcW w:type="dxa" w:w="1234"/>
          </w:tcPr>
          <w:p>
            <w:r>
              <w:rPr>
                <w:rFonts w:ascii="Calibri" w:hAnsi="Calibri"/>
                <w:sz w:val="22"/>
              </w:rPr>
              <w:t>Operating EPS — Diluted ($)</w:t>
            </w:r>
          </w:p>
        </w:tc>
        <w:tc>
          <w:tcPr>
            <w:tcW w:type="dxa" w:w="1234"/>
          </w:tcPr>
          <w:p>
            <w:r>
              <w:rPr>
                <w:rFonts w:ascii="Calibri" w:hAnsi="Calibri"/>
                <w:sz w:val="22"/>
              </w:rPr>
              <w:t>$1.50</w:t>
            </w:r>
          </w:p>
        </w:tc>
        <w:tc>
          <w:tcPr>
            <w:tcW w:type="dxa" w:w="1234"/>
          </w:tcPr>
          <w:p>
            <w:r>
              <w:rPr>
                <w:rFonts w:ascii="Calibri" w:hAnsi="Calibri"/>
                <w:sz w:val="22"/>
              </w:rPr>
              <w:t>$2.20</w:t>
            </w:r>
          </w:p>
        </w:tc>
        <w:tc>
          <w:tcPr>
            <w:tcW w:type="dxa" w:w="1234"/>
          </w:tcPr>
          <w:p>
            <w:r>
              <w:rPr>
                <w:rFonts w:ascii="Calibri" w:hAnsi="Calibri"/>
                <w:sz w:val="22"/>
              </w:rPr>
              <w:t>$2.25</w:t>
            </w:r>
          </w:p>
        </w:tc>
        <w:tc>
          <w:tcPr>
            <w:tcW w:type="dxa" w:w="1234"/>
          </w:tcPr>
          <w:p>
            <w:r>
              <w:rPr>
                <w:rFonts w:ascii="Calibri" w:hAnsi="Calibri"/>
                <w:sz w:val="22"/>
              </w:rPr>
              <w:t>+2.3%</w:t>
            </w:r>
          </w:p>
        </w:tc>
        <w:tc>
          <w:tcPr>
            <w:tcW w:type="dxa" w:w="1234"/>
          </w:tcPr>
          <w:p>
            <w:r>
              <w:rPr>
                <w:rFonts w:ascii="Calibri" w:hAnsi="Calibri"/>
                <w:sz w:val="22"/>
              </w:rPr>
              <w:t>$3.575 midpoint ($3.45–$3.70)</w:t>
            </w:r>
          </w:p>
        </w:tc>
        <w:tc>
          <w:tcPr>
            <w:tcW w:type="dxa" w:w="1234"/>
          </w:tcPr>
          <w:p>
            <w:r>
              <w:rPr>
                <w:rFonts w:ascii="Calibri" w:hAnsi="Calibri"/>
                <w:sz w:val="22"/>
              </w:rPr>
              <w:t>FY consensus ~$3.78 vs. $3.575 midpoint; +5.7% above midpoint</w:t>
            </w:r>
          </w:p>
        </w:tc>
      </w:tr>
      <w:tr>
        <w:tc>
          <w:tcPr>
            <w:tcW w:type="dxa" w:w="1234"/>
          </w:tcPr>
          <w:p>
            <w:r>
              <w:rPr>
                <w:rFonts w:ascii="Calibri" w:hAnsi="Calibri"/>
                <w:sz w:val="22"/>
              </w:rPr>
              <w:t>Seed Revenue ($M)</w:t>
            </w:r>
          </w:p>
        </w:tc>
        <w:tc>
          <w:tcPr>
            <w:tcW w:type="dxa" w:w="1234"/>
          </w:tcPr>
          <w:p>
            <w:r>
              <w:rPr>
                <w:rFonts w:ascii="Calibri" w:hAnsi="Calibri"/>
                <w:sz w:val="22"/>
              </w:rPr>
              <w:t>$3,023M</w:t>
            </w:r>
          </w:p>
        </w:tc>
        <w:tc>
          <w:tcPr>
            <w:tcW w:type="dxa" w:w="1234"/>
          </w:tcPr>
          <w:p>
            <w:r>
              <w:rPr>
                <w:rFonts w:ascii="Calibri" w:hAnsi="Calibri"/>
                <w:sz w:val="22"/>
              </w:rPr>
              <w:t>$4,537M</w:t>
            </w:r>
          </w:p>
        </w:tc>
        <w:tc>
          <w:tcPr>
            <w:tcW w:type="dxa" w:w="1234"/>
          </w:tcPr>
          <w:p>
            <w:r>
              <w:rPr>
                <w:rFonts w:ascii="Calibri" w:hAnsi="Calibri"/>
                <w:sz w:val="22"/>
              </w:rPr>
              <w:t>$4,631M</w:t>
            </w:r>
          </w:p>
        </w:tc>
        <w:tc>
          <w:tcPr>
            <w:tcW w:type="dxa" w:w="1234"/>
          </w:tcPr>
          <w:p>
            <w:r>
              <w:rPr>
                <w:rFonts w:ascii="Calibri" w:hAnsi="Calibri"/>
                <w:sz w:val="22"/>
              </w:rPr>
              <w:t>+2.1%</w:t>
            </w:r>
          </w:p>
        </w:tc>
        <w:tc>
          <w:tcPr>
            <w:tcW w:type="dxa" w:w="1234"/>
          </w:tcPr>
          <w:p>
            <w:r>
              <w:rPr>
                <w:rFonts w:ascii="Calibri" w:hAnsi="Calibri"/>
                <w:sz w:val="22"/>
              </w:rPr>
              <w:t>~$10,425M (FY)</w:t>
            </w:r>
          </w:p>
        </w:tc>
        <w:tc>
          <w:tcPr>
            <w:tcW w:type="dxa" w:w="1234"/>
          </w:tcPr>
          <w:p>
            <w:r>
              <w:rPr>
                <w:rFonts w:ascii="Calibri" w:hAnsi="Calibri"/>
                <w:sz w:val="22"/>
              </w:rPr>
              <w:t>N/A (no Q2-specific guidance)</w:t>
            </w:r>
          </w:p>
        </w:tc>
      </w:tr>
      <w:tr>
        <w:tc>
          <w:tcPr>
            <w:tcW w:type="dxa" w:w="1234"/>
          </w:tcPr>
          <w:p>
            <w:r>
              <w:rPr>
                <w:rFonts w:ascii="Calibri" w:hAnsi="Calibri"/>
                <w:sz w:val="22"/>
              </w:rPr>
              <w:t>Crop Protection Revenue ($M)</w:t>
            </w:r>
          </w:p>
        </w:tc>
        <w:tc>
          <w:tcPr>
            <w:tcW w:type="dxa" w:w="1234"/>
          </w:tcPr>
          <w:p>
            <w:r>
              <w:rPr>
                <w:rFonts w:ascii="Calibri" w:hAnsi="Calibri"/>
                <w:sz w:val="22"/>
              </w:rPr>
              <w:t>$1,882M</w:t>
            </w:r>
          </w:p>
        </w:tc>
        <w:tc>
          <w:tcPr>
            <w:tcW w:type="dxa" w:w="1234"/>
          </w:tcPr>
          <w:p>
            <w:r>
              <w:rPr>
                <w:rFonts w:ascii="Calibri" w:hAnsi="Calibri"/>
                <w:sz w:val="22"/>
              </w:rPr>
              <w:t>$1,919M</w:t>
            </w:r>
          </w:p>
        </w:tc>
        <w:tc>
          <w:tcPr>
            <w:tcW w:type="dxa" w:w="1234"/>
          </w:tcPr>
          <w:p>
            <w:r>
              <w:rPr>
                <w:rFonts w:ascii="Calibri" w:hAnsi="Calibri"/>
                <w:sz w:val="22"/>
              </w:rPr>
              <w:t>$1,950M</w:t>
            </w:r>
          </w:p>
        </w:tc>
        <w:tc>
          <w:tcPr>
            <w:tcW w:type="dxa" w:w="1234"/>
          </w:tcPr>
          <w:p>
            <w:r>
              <w:rPr>
                <w:rFonts w:ascii="Calibri" w:hAnsi="Calibri"/>
                <w:sz w:val="22"/>
              </w:rPr>
              <w:t>+1.6%</w:t>
            </w:r>
          </w:p>
        </w:tc>
        <w:tc>
          <w:tcPr>
            <w:tcW w:type="dxa" w:w="1234"/>
          </w:tcPr>
          <w:p>
            <w:r>
              <w:rPr>
                <w:rFonts w:ascii="Calibri" w:hAnsi="Calibri"/>
                <w:sz w:val="22"/>
              </w:rPr>
              <w:t>~$7,898M (FY)</w:t>
            </w:r>
          </w:p>
        </w:tc>
        <w:tc>
          <w:tcPr>
            <w:tcW w:type="dxa" w:w="1234"/>
          </w:tcPr>
          <w:p>
            <w:r>
              <w:rPr>
                <w:rFonts w:ascii="Calibri" w:hAnsi="Calibri"/>
                <w:sz w:val="22"/>
              </w:rPr>
              <w:t>N/A (no Q2-specific guidance)</w:t>
            </w:r>
          </w:p>
        </w:tc>
      </w:tr>
      <w:tr>
        <w:tc>
          <w:tcPr>
            <w:tcW w:type="dxa" w:w="1234"/>
          </w:tcPr>
          <w:p>
            <w:r>
              <w:rPr>
                <w:rFonts w:ascii="Calibri" w:hAnsi="Calibri"/>
                <w:sz w:val="22"/>
              </w:rPr>
              <w:t>CP Price/Mix Impact (%)</w:t>
            </w:r>
          </w:p>
        </w:tc>
        <w:tc>
          <w:tcPr>
            <w:tcW w:type="dxa" w:w="1234"/>
          </w:tcPr>
          <w:p>
            <w:r>
              <w:rPr>
                <w:rFonts w:ascii="Calibri" w:hAnsi="Calibri"/>
                <w:sz w:val="22"/>
              </w:rPr>
              <w:t>-2%</w:t>
            </w:r>
          </w:p>
        </w:tc>
        <w:tc>
          <w:tcPr>
            <w:tcW w:type="dxa" w:w="1234"/>
          </w:tcPr>
          <w:p>
            <w:r>
              <w:rPr>
                <w:rFonts w:ascii="Calibri" w:hAnsi="Calibri"/>
                <w:sz w:val="22"/>
              </w:rPr>
              <w:t>-2%</w:t>
            </w:r>
          </w:p>
        </w:tc>
        <w:tc>
          <w:tcPr>
            <w:tcW w:type="dxa" w:w="1234"/>
          </w:tcPr>
          <w:p>
            <w:r>
              <w:rPr>
                <w:rFonts w:ascii="Calibri" w:hAnsi="Calibri"/>
                <w:sz w:val="22"/>
              </w:rPr>
              <w:t>~-2.1%</w:t>
            </w:r>
          </w:p>
        </w:tc>
        <w:tc>
          <w:tcPr>
            <w:tcW w:type="dxa" w:w="1234"/>
          </w:tcPr>
          <w:p>
            <w:r>
              <w:rPr>
                <w:rFonts w:ascii="Calibri" w:hAnsi="Calibri"/>
                <w:sz w:val="22"/>
              </w:rPr>
              <w:t>Flat YoY</w:t>
            </w:r>
          </w:p>
        </w:tc>
        <w:tc>
          <w:tcPr>
            <w:tcW w:type="dxa" w:w="1234"/>
          </w:tcPr>
          <w:p>
            <w:r>
              <w:rPr>
                <w:rFonts w:ascii="Calibri" w:hAnsi="Calibri"/>
                <w:sz w:val="22"/>
              </w:rPr>
              <w:t>Low single-digit negative (mgmt. guidance)</w:t>
            </w:r>
          </w:p>
        </w:tc>
        <w:tc>
          <w:tcPr>
            <w:tcW w:type="dxa" w:w="1234"/>
          </w:tcPr>
          <w:p>
            <w:r>
              <w:rPr>
                <w:rFonts w:ascii="Calibri" w:hAnsi="Calibri"/>
                <w:sz w:val="22"/>
              </w:rPr>
              <w:t>Consensus in line with guidance</w:t>
            </w:r>
          </w:p>
        </w:tc>
      </w:tr>
      <w:tr>
        <w:tc>
          <w:tcPr>
            <w:tcW w:type="dxa" w:w="1234"/>
          </w:tcPr>
          <w:p>
            <w:r>
              <w:rPr>
                <w:rFonts w:ascii="Calibri" w:hAnsi="Calibri"/>
                <w:sz w:val="22"/>
              </w:rPr>
              <w:t>CP Volume Impact (%)</w:t>
            </w:r>
          </w:p>
        </w:tc>
        <w:tc>
          <w:tcPr>
            <w:tcW w:type="dxa" w:w="1234"/>
          </w:tcPr>
          <w:p>
            <w:r>
              <w:rPr>
                <w:rFonts w:ascii="Calibri" w:hAnsi="Calibri"/>
                <w:sz w:val="22"/>
              </w:rPr>
              <w:t>+6%</w:t>
            </w:r>
          </w:p>
        </w:tc>
        <w:tc>
          <w:tcPr>
            <w:tcW w:type="dxa" w:w="1234"/>
          </w:tcPr>
          <w:p>
            <w:r>
              <w:rPr>
                <w:rFonts w:ascii="Calibri" w:hAnsi="Calibri"/>
                <w:sz w:val="22"/>
              </w:rPr>
              <w:t>+11%</w:t>
            </w:r>
          </w:p>
        </w:tc>
        <w:tc>
          <w:tcPr>
            <w:tcW w:type="dxa" w:w="1234"/>
          </w:tcPr>
          <w:p>
            <w:r>
              <w:rPr>
                <w:rFonts w:ascii="Calibri" w:hAnsi="Calibri"/>
                <w:sz w:val="22"/>
              </w:rPr>
              <w:t>~+1.9%</w:t>
            </w:r>
          </w:p>
        </w:tc>
        <w:tc>
          <w:tcPr>
            <w:tcW w:type="dxa" w:w="1234"/>
          </w:tcPr>
          <w:p>
            <w:r>
              <w:rPr>
                <w:rFonts w:ascii="Calibri" w:hAnsi="Calibri"/>
                <w:sz w:val="22"/>
              </w:rPr>
              <w:t>Significant deceleration vs. Q2 2025</w:t>
            </w:r>
          </w:p>
        </w:tc>
        <w:tc>
          <w:tcPr>
            <w:tcW w:type="dxa" w:w="1234"/>
          </w:tcPr>
          <w:p>
            <w:r>
              <w:rPr>
                <w:rFonts w:ascii="Calibri" w:hAnsi="Calibri"/>
                <w:sz w:val="22"/>
              </w:rPr>
              <w:t>Mid-single-digit volume gains (FY mgmt.)</w:t>
            </w:r>
          </w:p>
        </w:tc>
        <w:tc>
          <w:tcPr>
            <w:tcW w:type="dxa" w:w="1234"/>
          </w:tcPr>
          <w:p>
            <w:r>
              <w:rPr>
                <w:rFonts w:ascii="Calibri" w:hAnsi="Calibri"/>
                <w:sz w:val="22"/>
              </w:rPr>
              <w:t>Consensus below mgmt. FY target; risk to downside</w:t>
            </w:r>
          </w:p>
        </w:tc>
      </w:tr>
      <w:tr>
        <w:tc>
          <w:tcPr>
            <w:tcW w:type="dxa" w:w="1234"/>
          </w:tcPr>
          <w:p>
            <w:r>
              <w:rPr>
                <w:rFonts w:ascii="Calibri" w:hAnsi="Calibri"/>
                <w:sz w:val="22"/>
              </w:rPr>
              <w:t>Seed EBITDA ($M)</w:t>
            </w:r>
          </w:p>
        </w:tc>
        <w:tc>
          <w:tcPr>
            <w:tcW w:type="dxa" w:w="1234"/>
          </w:tcPr>
          <w:p>
            <w:r>
              <w:rPr>
                <w:rFonts w:ascii="Calibri" w:hAnsi="Calibri"/>
                <w:sz w:val="22"/>
              </w:rPr>
              <w:t>$1,034M</w:t>
            </w:r>
          </w:p>
        </w:tc>
        <w:tc>
          <w:tcPr>
            <w:tcW w:type="dxa" w:w="1234"/>
          </w:tcPr>
          <w:p>
            <w:r>
              <w:rPr>
                <w:rFonts w:ascii="Calibri" w:hAnsi="Calibri"/>
                <w:sz w:val="22"/>
              </w:rPr>
              <w:t>N/A — not separately reported in Q2 2025 data available</w:t>
            </w:r>
          </w:p>
        </w:tc>
        <w:tc>
          <w:tcPr>
            <w:tcW w:type="dxa" w:w="1234"/>
          </w:tcPr>
          <w:p>
            <w:r>
              <w:rPr>
                <w:rFonts w:ascii="Calibri" w:hAnsi="Calibri"/>
                <w:sz w:val="22"/>
              </w:rPr>
              <w:t>N/A — not in VA for Q2 2026</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Sources: Visible Alpha Consensus and Actuals Data (Total Revenue, Operating EBITDA, Operating EPS, Seed Revenue, Crop Protection Revenue, CP Price/Mix, CP Volume). Q1 2026 actuals from Corteva Q1 2026 Earnings Release (May 5, 2026). FY2026 guidance from Q1 2026 Earnings Call (May 6, 2026). All consensus figures as of July 29, 2026.</w:t>
      </w:r>
    </w:p>
    <w:p>
      <w:pPr>
        <w:pStyle w:val="Heading3"/>
      </w:pPr>
      <w:r>
        <w:rPr>
          <w:rFonts w:ascii="Calibri" w:hAnsi="Calibri"/>
          <w:b/>
          <w:color w:val="3B4259"/>
          <w:sz w:val="24"/>
        </w:rPr>
        <w:t>Table 2 — Beat/Miss History (Last 8 Quarters) — Top 2 KPIs: Operating EBITDA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Actual</w:t>
            </w:r>
          </w:p>
        </w:tc>
        <w:tc>
          <w:tcPr>
            <w:tcW w:type="dxa" w:w="1440"/>
            <w:shd w:val="clear" w:color="auto" w:fill="3B4259"/>
          </w:tcPr>
          <w:p>
            <w:r>
              <w:rPr>
                <w:rFonts w:ascii="Calibri" w:hAnsi="Calibri"/>
                <w:b/>
                <w:color w:val="FFFFFF"/>
                <w:sz w:val="22"/>
              </w:rPr>
              <w:t>Consensus Estimate</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EBITDA</w:t>
            </w:r>
          </w:p>
        </w:tc>
        <w:tc>
          <w:tcPr>
            <w:tcW w:type="dxa" w:w="1440"/>
          </w:tcPr>
          <w:p>
            <w:r>
              <w:rPr>
                <w:rFonts w:ascii="Calibri" w:hAnsi="Calibri"/>
                <w:sz w:val="22"/>
              </w:rPr>
              <w:t>$1,438M</w:t>
            </w:r>
          </w:p>
        </w:tc>
        <w:tc>
          <w:tcPr>
            <w:tcW w:type="dxa" w:w="1440"/>
          </w:tcPr>
          <w:p>
            <w:r>
              <w:rPr>
                <w:rFonts w:ascii="Calibri" w:hAnsi="Calibri"/>
                <w:sz w:val="22"/>
              </w:rPr>
              <w:t>$1,264M</w:t>
            </w:r>
          </w:p>
        </w:tc>
        <w:tc>
          <w:tcPr>
            <w:tcW w:type="dxa" w:w="1440"/>
          </w:tcPr>
          <w:p>
            <w:r>
              <w:rPr>
                <w:rFonts w:ascii="Calibri" w:hAnsi="Calibri"/>
                <w:b/>
                <w:color w:val="30A46C"/>
                <w:sz w:val="22"/>
              </w:rPr>
              <w:t>+13.8%</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$1.50</w:t>
            </w:r>
          </w:p>
        </w:tc>
        <w:tc>
          <w:tcPr>
            <w:tcW w:type="dxa" w:w="1440"/>
          </w:tcPr>
          <w:p>
            <w:r>
              <w:rPr>
                <w:rFonts w:ascii="Calibri" w:hAnsi="Calibri"/>
                <w:sz w:val="22"/>
              </w:rPr>
              <w:t>$1.18</w:t>
            </w:r>
          </w:p>
        </w:tc>
        <w:tc>
          <w:tcPr>
            <w:tcW w:type="dxa" w:w="1440"/>
          </w:tcPr>
          <w:p>
            <w:r>
              <w:rPr>
                <w:rFonts w:ascii="Calibri" w:hAnsi="Calibri"/>
                <w:b/>
                <w:color w:val="30A46C"/>
                <w:sz w:val="22"/>
              </w:rPr>
              <w:t>+27.1%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Operating EBITDA</w:t>
            </w:r>
          </w:p>
        </w:tc>
        <w:tc>
          <w:tcPr>
            <w:tcW w:type="dxa" w:w="1440"/>
          </w:tcPr>
          <w:p>
            <w:r>
              <w:rPr>
                <w:rFonts w:ascii="Calibri" w:hAnsi="Calibri"/>
                <w:sz w:val="22"/>
              </w:rPr>
              <w:t>$446M</w:t>
            </w:r>
          </w:p>
        </w:tc>
        <w:tc>
          <w:tcPr>
            <w:tcW w:type="dxa" w:w="1440"/>
          </w:tcPr>
          <w:p>
            <w:r>
              <w:rPr>
                <w:rFonts w:ascii="Calibri" w:hAnsi="Calibri"/>
                <w:sz w:val="22"/>
              </w:rPr>
              <w:t>$484M</w:t>
            </w:r>
          </w:p>
        </w:tc>
        <w:tc>
          <w:tcPr>
            <w:tcW w:type="dxa" w:w="1440"/>
          </w:tcPr>
          <w:p>
            <w:r>
              <w:rPr>
                <w:rFonts w:ascii="Calibri" w:hAnsi="Calibri"/>
                <w:b/>
                <w:color w:val="E5484D"/>
                <w:sz w:val="22"/>
              </w:rPr>
              <w:t>-7.9%</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$0.22</w:t>
            </w:r>
          </w:p>
        </w:tc>
        <w:tc>
          <w:tcPr>
            <w:tcW w:type="dxa" w:w="1440"/>
          </w:tcPr>
          <w:p>
            <w:r>
              <w:rPr>
                <w:rFonts w:ascii="Calibri" w:hAnsi="Calibri"/>
                <w:sz w:val="22"/>
              </w:rPr>
              <w:t>$0.21</w:t>
            </w:r>
          </w:p>
        </w:tc>
        <w:tc>
          <w:tcPr>
            <w:tcW w:type="dxa" w:w="1440"/>
          </w:tcPr>
          <w:p>
            <w:r>
              <w:rPr>
                <w:rFonts w:ascii="Calibri" w:hAnsi="Calibri"/>
                <w:b/>
                <w:color w:val="30A46C"/>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Operating EBITDA</w:t>
            </w:r>
          </w:p>
        </w:tc>
        <w:tc>
          <w:tcPr>
            <w:tcW w:type="dxa" w:w="1440"/>
          </w:tcPr>
          <w:p>
            <w:r>
              <w:rPr>
                <w:rFonts w:ascii="Calibri" w:hAnsi="Calibri"/>
                <w:sz w:val="22"/>
              </w:rPr>
              <w:t>$49M</w:t>
            </w:r>
          </w:p>
        </w:tc>
        <w:tc>
          <w:tcPr>
            <w:tcW w:type="dxa" w:w="1440"/>
          </w:tcPr>
          <w:p>
            <w:r>
              <w:rPr>
                <w:rFonts w:ascii="Calibri" w:hAnsi="Calibri"/>
                <w:sz w:val="22"/>
              </w:rPr>
              <w:t>-$109M</w:t>
            </w:r>
          </w:p>
        </w:tc>
        <w:tc>
          <w:tcPr>
            <w:tcW w:type="dxa" w:w="1440"/>
          </w:tcPr>
          <w:p>
            <w:r>
              <w:rPr>
                <w:rFonts w:ascii="Calibri" w:hAnsi="Calibri"/>
                <w:b/>
                <w:color w:val="30A46C"/>
                <w:sz w:val="22"/>
              </w:rPr>
              <w:t>N/M (beat loss est.)</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-$0.23</w:t>
            </w:r>
          </w:p>
        </w:tc>
        <w:tc>
          <w:tcPr>
            <w:tcW w:type="dxa" w:w="1440"/>
          </w:tcPr>
          <w:p>
            <w:r>
              <w:rPr>
                <w:rFonts w:ascii="Calibri" w:hAnsi="Calibri"/>
                <w:sz w:val="22"/>
              </w:rPr>
              <w:t>-$0.53</w:t>
            </w:r>
          </w:p>
        </w:tc>
        <w:tc>
          <w:tcPr>
            <w:tcW w:type="dxa" w:w="1440"/>
          </w:tcPr>
          <w:p>
            <w:r>
              <w:rPr>
                <w:rFonts w:ascii="Calibri" w:hAnsi="Calibri"/>
                <w:b/>
                <w:color w:val="30A46C"/>
                <w:sz w:val="22"/>
              </w:rPr>
              <w:t>N/M (beat loss est.)</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EBITDA</w:t>
            </w:r>
          </w:p>
        </w:tc>
        <w:tc>
          <w:tcPr>
            <w:tcW w:type="dxa" w:w="1440"/>
          </w:tcPr>
          <w:p>
            <w:r>
              <w:rPr>
                <w:rFonts w:ascii="Calibri" w:hAnsi="Calibri"/>
                <w:sz w:val="22"/>
              </w:rPr>
              <w:t>$2,164M</w:t>
            </w:r>
          </w:p>
        </w:tc>
        <w:tc>
          <w:tcPr>
            <w:tcW w:type="dxa" w:w="1440"/>
          </w:tcPr>
          <w:p>
            <w:r>
              <w:rPr>
                <w:rFonts w:ascii="Calibri" w:hAnsi="Calibri"/>
                <w:sz w:val="22"/>
              </w:rPr>
              <w:t>$2,012M</w:t>
            </w:r>
          </w:p>
        </w:tc>
        <w:tc>
          <w:tcPr>
            <w:tcW w:type="dxa" w:w="1440"/>
          </w:tcPr>
          <w:p>
            <w:r>
              <w:rPr>
                <w:rFonts w:ascii="Calibri" w:hAnsi="Calibri"/>
                <w:b/>
                <w:color w:val="30A46C"/>
                <w:sz w:val="22"/>
              </w:rPr>
              <w:t>+7.6%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$2.20</w:t>
            </w:r>
          </w:p>
        </w:tc>
        <w:tc>
          <w:tcPr>
            <w:tcW w:type="dxa" w:w="1440"/>
          </w:tcPr>
          <w:p>
            <w:r>
              <w:rPr>
                <w:rFonts w:ascii="Calibri" w:hAnsi="Calibri"/>
                <w:sz w:val="22"/>
              </w:rPr>
              <w:t>$1.91</w:t>
            </w:r>
          </w:p>
        </w:tc>
        <w:tc>
          <w:tcPr>
            <w:tcW w:type="dxa" w:w="1440"/>
          </w:tcPr>
          <w:p>
            <w:r>
              <w:rPr>
                <w:rFonts w:ascii="Calibri" w:hAnsi="Calibri"/>
                <w:b/>
                <w:color w:val="30A46C"/>
                <w:sz w:val="22"/>
              </w:rPr>
              <w:t>+15.2%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Operating EBITDA</w:t>
            </w:r>
          </w:p>
        </w:tc>
        <w:tc>
          <w:tcPr>
            <w:tcW w:type="dxa" w:w="1440"/>
          </w:tcPr>
          <w:p>
            <w:r>
              <w:rPr>
                <w:rFonts w:ascii="Calibri" w:hAnsi="Calibri"/>
                <w:sz w:val="22"/>
              </w:rPr>
              <w:t>$1,189M</w:t>
            </w:r>
          </w:p>
        </w:tc>
        <w:tc>
          <w:tcPr>
            <w:tcW w:type="dxa" w:w="1440"/>
          </w:tcPr>
          <w:p>
            <w:r>
              <w:rPr>
                <w:rFonts w:ascii="Calibri" w:hAnsi="Calibri"/>
                <w:sz w:val="22"/>
              </w:rPr>
              <w:t>$1,060M</w:t>
            </w:r>
          </w:p>
        </w:tc>
        <w:tc>
          <w:tcPr>
            <w:tcW w:type="dxa" w:w="1440"/>
          </w:tcPr>
          <w:p>
            <w:r>
              <w:rPr>
                <w:rFonts w:ascii="Calibri" w:hAnsi="Calibri"/>
                <w:b/>
                <w:color w:val="30A46C"/>
                <w:sz w:val="22"/>
              </w:rPr>
              <w:t>+12.2%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$1.13</w:t>
            </w:r>
          </w:p>
        </w:tc>
        <w:tc>
          <w:tcPr>
            <w:tcW w:type="dxa" w:w="1440"/>
          </w:tcPr>
          <w:p>
            <w:r>
              <w:rPr>
                <w:rFonts w:ascii="Calibri" w:hAnsi="Calibri"/>
                <w:sz w:val="22"/>
              </w:rPr>
              <w:t>$0.89</w:t>
            </w:r>
          </w:p>
        </w:tc>
        <w:tc>
          <w:tcPr>
            <w:tcW w:type="dxa" w:w="1440"/>
          </w:tcPr>
          <w:p>
            <w:r>
              <w:rPr>
                <w:rFonts w:ascii="Calibri" w:hAnsi="Calibri"/>
                <w:b/>
                <w:color w:val="30A46C"/>
                <w:sz w:val="22"/>
              </w:rPr>
              <w:t>+27.0%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EBITDA</w:t>
            </w:r>
          </w:p>
        </w:tc>
        <w:tc>
          <w:tcPr>
            <w:tcW w:type="dxa" w:w="1440"/>
          </w:tcPr>
          <w:p>
            <w:r>
              <w:rPr>
                <w:rFonts w:ascii="Calibri" w:hAnsi="Calibri"/>
                <w:sz w:val="22"/>
              </w:rPr>
              <w:t>$525M</w:t>
            </w:r>
          </w:p>
        </w:tc>
        <w:tc>
          <w:tcPr>
            <w:tcW w:type="dxa" w:w="1440"/>
          </w:tcPr>
          <w:p>
            <w:r>
              <w:rPr>
                <w:rFonts w:ascii="Calibri" w:hAnsi="Calibri"/>
                <w:sz w:val="22"/>
              </w:rPr>
              <w:t>$523M</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$0.32</w:t>
            </w:r>
          </w:p>
        </w:tc>
        <w:tc>
          <w:tcPr>
            <w:tcW w:type="dxa" w:w="1440"/>
          </w:tcPr>
          <w:p>
            <w:r>
              <w:rPr>
                <w:rFonts w:ascii="Calibri" w:hAnsi="Calibri"/>
                <w:sz w:val="22"/>
              </w:rPr>
              <w:t>$0.31</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Operating EBITDA</w:t>
            </w:r>
          </w:p>
        </w:tc>
        <w:tc>
          <w:tcPr>
            <w:tcW w:type="dxa" w:w="1440"/>
          </w:tcPr>
          <w:p>
            <w:r>
              <w:rPr>
                <w:rFonts w:ascii="Calibri" w:hAnsi="Calibri"/>
                <w:sz w:val="22"/>
              </w:rPr>
              <w:t>-$100M</w:t>
            </w:r>
          </w:p>
        </w:tc>
        <w:tc>
          <w:tcPr>
            <w:tcW w:type="dxa" w:w="1440"/>
          </w:tcPr>
          <w:p>
            <w:r>
              <w:rPr>
                <w:rFonts w:ascii="Calibri" w:hAnsi="Calibri"/>
                <w:sz w:val="22"/>
              </w:rPr>
              <w:t>$5M</w:t>
            </w:r>
          </w:p>
        </w:tc>
        <w:tc>
          <w:tcPr>
            <w:tcW w:type="dxa" w:w="1440"/>
          </w:tcPr>
          <w:p>
            <w:r>
              <w:rPr>
                <w:rFonts w:ascii="Calibri" w:hAnsi="Calibri"/>
                <w:b/>
                <w:color w:val="E5484D"/>
                <w:sz w:val="22"/>
              </w:rPr>
              <w:t>N/M (missed)</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-$0.49</w:t>
            </w:r>
          </w:p>
        </w:tc>
        <w:tc>
          <w:tcPr>
            <w:tcW w:type="dxa" w:w="1440"/>
          </w:tcPr>
          <w:p>
            <w:r>
              <w:rPr>
                <w:rFonts w:ascii="Calibri" w:hAnsi="Calibri"/>
                <w:sz w:val="22"/>
              </w:rPr>
              <w:t>-$0.29</w:t>
            </w:r>
          </w:p>
        </w:tc>
        <w:tc>
          <w:tcPr>
            <w:tcW w:type="dxa" w:w="1440"/>
          </w:tcPr>
          <w:p>
            <w:r>
              <w:rPr>
                <w:rFonts w:ascii="Calibri" w:hAnsi="Calibri"/>
                <w:b/>
                <w:color w:val="E5484D"/>
                <w:sz w:val="22"/>
              </w:rPr>
              <w:t>N/M (missed)</w:t>
            </w:r>
          </w:p>
        </w:tc>
        <w:tc>
          <w:tcPr>
            <w:tcW w:type="dxa" w:w="1440"/>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i/>
          <w:color w:val="525866"/>
          <w:sz w:val="22"/>
        </w:rPr>
        <w:t>CTVA has beaten Operating EBITDA consensus in 6 of the last 8 quarters (75% beat rate), with particularly large beats in Q1 and Q2 of seasonally heavy periods; the two misses (Q3 2024 and Q4 2025) occurred in seasonally light quarters where small absolute misses are amplified on a percentage basis.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FY2026 guidance has been </w:t>
      </w:r>
    </w:p>
    <w:p>
      <w:r>
        <w:rPr>
          <w:rFonts w:ascii="Calibri" w:hAnsi="Calibri"/>
          <w:b/>
          <w:color w:val="525866"/>
          <w:sz w:val="22"/>
        </w:rPr>
        <w:t>unchanged since the February initial issuance</w:t>
      </w:r>
      <w:r>
        <w:rPr>
          <w:rFonts w:ascii="Calibri" w:hAnsi="Calibri"/>
          <w:color w:val="525866"/>
          <w:sz w:val="22"/>
        </w:rPr>
        <w:t xml:space="preserve"> — management reaffirmed at Q1 earnings and at both post-Q1 conferences. The tone has shifted incrementally more positive on dis-synergies and royalty journey, but management is deliberately holding the guide given back-half uncertainty around oil prices and Latin America acreage.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 Feb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Operating EBITDA</w:t>
            </w:r>
          </w:p>
        </w:tc>
        <w:tc>
          <w:tcPr>
            <w:tcW w:type="dxa" w:w="1728"/>
          </w:tcPr>
          <w:p>
            <w:r>
              <w:rPr>
                <w:rFonts w:ascii="Calibri" w:hAnsi="Calibri"/>
                <w:sz w:val="22"/>
              </w:rPr>
              <w:t>$4.0B – $4.2B ($4.1B midpoint)</w:t>
            </w:r>
          </w:p>
        </w:tc>
        <w:tc>
          <w:tcPr>
            <w:tcW w:type="dxa" w:w="1728"/>
          </w:tcPr>
          <w:p>
            <w:r>
              <w:rPr>
                <w:rFonts w:ascii="Calibri" w:hAnsi="Calibri"/>
                <w:sz w:val="22"/>
              </w:rPr>
              <w:t>— (unchanged)</w:t>
            </w:r>
          </w:p>
        </w:tc>
        <w:tc>
          <w:tcPr>
            <w:tcW w:type="dxa" w:w="1728"/>
          </w:tcPr>
          <w:p>
            <w:r>
              <w:rPr>
                <w:rFonts w:ascii="Calibri" w:hAnsi="Calibri"/>
                <w:sz w:val="22"/>
              </w:rPr>
              <w:t>~$4.20B</w:t>
            </w:r>
          </w:p>
        </w:tc>
        <w:tc>
          <w:tcPr>
            <w:tcW w:type="dxa" w:w="1728"/>
          </w:tcPr>
          <w:p>
            <w:r>
              <w:rPr>
                <w:rFonts w:ascii="Calibri" w:hAnsi="Calibri"/>
                <w:sz w:val="22"/>
              </w:rPr>
              <w:t>Reaffirmed at Q1 earnings (May 6) and at BMO (May 14) and Wolfe (June 17) conferences. Tone: ‘very comfortable at the $4.1B’ midpoint. Consensus sits at top of range.</w:t>
            </w:r>
          </w:p>
        </w:tc>
      </w:tr>
      <w:tr>
        <w:tc>
          <w:tcPr>
            <w:tcW w:type="dxa" w:w="1728"/>
          </w:tcPr>
          <w:p>
            <w:r>
              <w:rPr>
                <w:rFonts w:ascii="Calibri" w:hAnsi="Calibri"/>
                <w:sz w:val="22"/>
              </w:rPr>
              <w:t>FY2026 Operating EPS</w:t>
            </w:r>
          </w:p>
        </w:tc>
        <w:tc>
          <w:tcPr>
            <w:tcW w:type="dxa" w:w="1728"/>
          </w:tcPr>
          <w:p>
            <w:r>
              <w:rPr>
                <w:rFonts w:ascii="Calibri" w:hAnsi="Calibri"/>
                <w:sz w:val="22"/>
              </w:rPr>
              <w:t>$3.45 – $3.70 (~7% growth at midpoint)</w:t>
            </w:r>
          </w:p>
        </w:tc>
        <w:tc>
          <w:tcPr>
            <w:tcW w:type="dxa" w:w="1728"/>
          </w:tcPr>
          <w:p>
            <w:r>
              <w:rPr>
                <w:rFonts w:ascii="Calibri" w:hAnsi="Calibri"/>
                <w:sz w:val="22"/>
              </w:rPr>
              <w:t>— (unchanged)</w:t>
            </w:r>
          </w:p>
        </w:tc>
        <w:tc>
          <w:tcPr>
            <w:tcW w:type="dxa" w:w="1728"/>
          </w:tcPr>
          <w:p>
            <w:r>
              <w:rPr>
                <w:rFonts w:ascii="Calibri" w:hAnsi="Calibri"/>
                <w:sz w:val="22"/>
              </w:rPr>
              <w:t>~$3.78</w:t>
            </w:r>
          </w:p>
        </w:tc>
        <w:tc>
          <w:tcPr>
            <w:tcW w:type="dxa" w:w="1728"/>
          </w:tcPr>
          <w:p>
            <w:r>
              <w:rPr>
                <w:rFonts w:ascii="Calibri" w:hAnsi="Calibri"/>
                <w:sz w:val="22"/>
              </w:rPr>
              <w:t>Reaffirmed at Q1 earnings. Consensus ~5.7% above midpoint, reflecting market expectation of modest upside from royalty tailwind and lower tax rate.</w:t>
            </w:r>
          </w:p>
        </w:tc>
      </w:tr>
      <w:tr>
        <w:tc>
          <w:tcPr>
            <w:tcW w:type="dxa" w:w="1728"/>
          </w:tcPr>
          <w:p>
            <w:r>
              <w:rPr>
                <w:rFonts w:ascii="Calibri" w:hAnsi="Calibri"/>
                <w:sz w:val="22"/>
              </w:rPr>
              <w:t>Seed Price/Mix (FY2026)</w:t>
            </w:r>
          </w:p>
        </w:tc>
        <w:tc>
          <w:tcPr>
            <w:tcW w:type="dxa" w:w="1728"/>
          </w:tcPr>
          <w:p>
            <w:r>
              <w:rPr>
                <w:rFonts w:ascii="Calibri" w:hAnsi="Calibri"/>
                <w:sz w:val="22"/>
              </w:rPr>
              <w:t>Low single-digit positive</w:t>
            </w:r>
          </w:p>
        </w:tc>
        <w:tc>
          <w:tcPr>
            <w:tcW w:type="dxa" w:w="1728"/>
          </w:tcPr>
          <w:p>
            <w:r>
              <w:rPr>
                <w:rFonts w:ascii="Calibri" w:hAnsi="Calibri"/>
                <w:sz w:val="22"/>
              </w:rPr>
              <w:t>— (unchanged)</w:t>
            </w:r>
          </w:p>
        </w:tc>
        <w:tc>
          <w:tcPr>
            <w:tcW w:type="dxa" w:w="1728"/>
          </w:tcPr>
          <w:p>
            <w:r>
              <w:rPr>
                <w:rFonts w:ascii="Calibri" w:hAnsi="Calibri"/>
                <w:sz w:val="22"/>
              </w:rPr>
              <w:t>~+1–2% (VA)</w:t>
            </w:r>
          </w:p>
        </w:tc>
        <w:tc>
          <w:tcPr>
            <w:tcW w:type="dxa" w:w="1728"/>
          </w:tcPr>
          <w:p>
            <w:r>
              <w:rPr>
                <w:rFonts w:ascii="Calibri" w:hAnsi="Calibri"/>
                <w:sz w:val="22"/>
              </w:rPr>
              <w:t>Reaffirmed at BMO (May 14). H2 expected low-to-mid single-digit improvement per Q1 call.</w:t>
            </w:r>
          </w:p>
        </w:tc>
      </w:tr>
      <w:tr>
        <w:tc>
          <w:tcPr>
            <w:tcW w:type="dxa" w:w="1728"/>
          </w:tcPr>
          <w:p>
            <w:r>
              <w:rPr>
                <w:rFonts w:ascii="Calibri" w:hAnsi="Calibri"/>
                <w:sz w:val="22"/>
              </w:rPr>
              <w:t>CP Price/Mix (FY2026)</w:t>
            </w:r>
          </w:p>
        </w:tc>
        <w:tc>
          <w:tcPr>
            <w:tcW w:type="dxa" w:w="1728"/>
          </w:tcPr>
          <w:p>
            <w:r>
              <w:rPr>
                <w:rFonts w:ascii="Calibri" w:hAnsi="Calibri"/>
                <w:sz w:val="22"/>
              </w:rPr>
              <w:t>Low single-digit negative</w:t>
            </w:r>
          </w:p>
        </w:tc>
        <w:tc>
          <w:tcPr>
            <w:tcW w:type="dxa" w:w="1728"/>
          </w:tcPr>
          <w:p>
            <w:r>
              <w:rPr>
                <w:rFonts w:ascii="Calibri" w:hAnsi="Calibri"/>
                <w:sz w:val="22"/>
              </w:rPr>
              <w:t>— (unchanged)</w:t>
            </w:r>
          </w:p>
        </w:tc>
        <w:tc>
          <w:tcPr>
            <w:tcW w:type="dxa" w:w="1728"/>
          </w:tcPr>
          <w:p>
            <w:r>
              <w:rPr>
                <w:rFonts w:ascii="Calibri" w:hAnsi="Calibri"/>
                <w:sz w:val="22"/>
              </w:rPr>
              <w:t>~-2.1% (VA)</w:t>
            </w:r>
          </w:p>
        </w:tc>
        <w:tc>
          <w:tcPr>
            <w:tcW w:type="dxa" w:w="1728"/>
          </w:tcPr>
          <w:p>
            <w:r>
              <w:rPr>
                <w:rFonts w:ascii="Calibri" w:hAnsi="Calibri"/>
                <w:sz w:val="22"/>
              </w:rPr>
              <w:t>Reaffirmed at BMO (May 14). Pricing stable to slightly up in new products; legacy/LatAm remains pressured.</w:t>
            </w:r>
          </w:p>
        </w:tc>
      </w:tr>
      <w:tr>
        <w:tc>
          <w:tcPr>
            <w:tcW w:type="dxa" w:w="1728"/>
          </w:tcPr>
          <w:p>
            <w:r>
              <w:rPr>
                <w:rFonts w:ascii="Calibri" w:hAnsi="Calibri"/>
                <w:sz w:val="22"/>
              </w:rPr>
              <w:t>Net Royalty Status (FY2026)</w:t>
            </w:r>
          </w:p>
        </w:tc>
        <w:tc>
          <w:tcPr>
            <w:tcW w:type="dxa" w:w="1728"/>
          </w:tcPr>
          <w:p>
            <w:r>
              <w:rPr>
                <w:rFonts w:ascii="Calibri" w:hAnsi="Calibri"/>
                <w:sz w:val="22"/>
              </w:rPr>
              <w:t>Royalty neutral (initial expectation)</w:t>
            </w:r>
          </w:p>
        </w:tc>
        <w:tc>
          <w:tcPr>
            <w:tcW w:type="dxa" w:w="1728"/>
          </w:tcPr>
          <w:p>
            <w:r>
              <w:rPr>
                <w:rFonts w:ascii="Calibri" w:hAnsi="Calibri"/>
                <w:sz w:val="22"/>
              </w:rPr>
              <w:t>↑ Upgraded to royalty positive at Q1 earnings (May 6)</w:t>
            </w:r>
          </w:p>
        </w:tc>
        <w:tc>
          <w:tcPr>
            <w:tcW w:type="dxa" w:w="1728"/>
          </w:tcPr>
          <w:p>
            <w:r>
              <w:rPr>
                <w:rFonts w:ascii="Calibri" w:hAnsi="Calibri"/>
                <w:sz w:val="22"/>
              </w:rPr>
              <w:t>Royalty positive (first time in company history)</w:t>
            </w:r>
          </w:p>
        </w:tc>
        <w:tc>
          <w:tcPr>
            <w:tcW w:type="dxa" w:w="1728"/>
          </w:tcPr>
          <w:p>
            <w:r>
              <w:rPr>
                <w:rFonts w:ascii="Calibri" w:hAnsi="Calibri"/>
                <w:sz w:val="22"/>
              </w:rPr>
              <w:t>↑ Raised at Q1 earnings (May 6, 2026). Confirmed at BMO (May 14) and Wolfe (June 17). ~$120M+ better than FY2025. Key positive surprise vs. initial plan.</w:t>
            </w:r>
          </w:p>
        </w:tc>
      </w:tr>
      <w:tr>
        <w:tc>
          <w:tcPr>
            <w:tcW w:type="dxa" w:w="1728"/>
          </w:tcPr>
          <w:p>
            <w:r>
              <w:rPr>
                <w:rFonts w:ascii="Calibri" w:hAnsi="Calibri"/>
                <w:sz w:val="22"/>
              </w:rPr>
              <w:t>Separation Dis-synergies (Net, FY2026)</w:t>
            </w:r>
          </w:p>
        </w:tc>
        <w:tc>
          <w:tcPr>
            <w:tcW w:type="dxa" w:w="1728"/>
          </w:tcPr>
          <w:p>
            <w:r>
              <w:rPr>
                <w:rFonts w:ascii="Calibri" w:hAnsi="Calibri"/>
                <w:sz w:val="22"/>
              </w:rPr>
              <w:t>$100M net EBITDA dis-synergy (initial estimate); $50M in 2026 guidance</w:t>
            </w:r>
          </w:p>
        </w:tc>
        <w:tc>
          <w:tcPr>
            <w:tcW w:type="dxa" w:w="1728"/>
          </w:tcPr>
          <w:p>
            <w:r>
              <w:rPr>
                <w:rFonts w:ascii="Calibri" w:hAnsi="Calibri"/>
                <w:sz w:val="22"/>
              </w:rPr>
              <w:t>↑ Upgraded to ‘pretty significantly favorable’ at Wolfe (June 17)</w:t>
            </w:r>
          </w:p>
        </w:tc>
        <w:tc>
          <w:tcPr>
            <w:tcW w:type="dxa" w:w="1728"/>
          </w:tcPr>
          <w:p>
            <w:r>
              <w:rPr>
                <w:rFonts w:ascii="Calibri" w:hAnsi="Calibri"/>
                <w:sz w:val="22"/>
              </w:rPr>
              <w:t>Better than $100M net (updated number promised at Q2 call)</w:t>
            </w:r>
          </w:p>
        </w:tc>
        <w:tc>
          <w:tcPr>
            <w:tcW w:type="dxa" w:w="1728"/>
          </w:tcPr>
          <w:p>
            <w:r>
              <w:rPr>
                <w:rFonts w:ascii="Calibri" w:hAnsi="Calibri"/>
                <w:sz w:val="22"/>
              </w:rPr>
              <w:t>↑ Upgraded from ‘a little bit favorable’ (BMO, May 14) to ‘pretty significantly favorable’ (Wolfe, June 17). Formal updated number to be disclosed on Q2 earnings call — a key catalyst.</w:t>
            </w:r>
          </w:p>
        </w:tc>
      </w:tr>
      <w:tr>
        <w:tc>
          <w:tcPr>
            <w:tcW w:type="dxa" w:w="1728"/>
          </w:tcPr>
          <w:p>
            <w:r>
              <w:rPr>
                <w:rFonts w:ascii="Calibri" w:hAnsi="Calibri"/>
                <w:sz w:val="22"/>
              </w:rPr>
              <w:t>Oil/Input Cost Headwind (H2 2026)</w:t>
            </w:r>
          </w:p>
        </w:tc>
        <w:tc>
          <w:tcPr>
            <w:tcW w:type="dxa" w:w="1728"/>
          </w:tcPr>
          <w:p>
            <w:r>
              <w:rPr>
                <w:rFonts w:ascii="Calibri" w:hAnsi="Calibri"/>
                <w:sz w:val="22"/>
              </w:rPr>
              <w:t>~$40M headwind (included in guidance)</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Reaffirmed at BMO (May 14). Active mitigation underway. Tariffs trending slightly favorable. FMC’s Q2 results (July 29) suggest the challenging environment may be worsening.</w:t>
            </w:r>
          </w:p>
        </w:tc>
      </w:tr>
      <w:tr>
        <w:tc>
          <w:tcPr>
            <w:tcW w:type="dxa" w:w="1728"/>
          </w:tcPr>
          <w:p>
            <w:r>
              <w:rPr>
                <w:rFonts w:ascii="Calibri" w:hAnsi="Calibri"/>
                <w:sz w:val="22"/>
              </w:rPr>
              <w:t>One-Time Separation Costs (FY2026)</w:t>
            </w:r>
          </w:p>
        </w:tc>
        <w:tc>
          <w:tcPr>
            <w:tcW w:type="dxa" w:w="1728"/>
          </w:tcPr>
          <w:p>
            <w:r>
              <w:rPr>
                <w:rFonts w:ascii="Calibri" w:hAnsi="Calibri"/>
                <w:sz w:val="22"/>
              </w:rPr>
              <w:t>~$350M (majority in H2 2026)</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Reaffirmed at Q1 earnings. Consistent with external benchmark ranges.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Q2 2026 have drifted modestly lower since the Q1 print baseline (May 12, 2026), reflecting caution on CP pricing and H2 oil headwinds, but FY2026 estimates have held firm or ticked slightly higher — suggesting the Street is not pricing in a full-year miss. The </w:t>
      </w:r>
    </w:p>
    <w:p>
      <w:r>
        <w:rPr>
          <w:rFonts w:ascii="Calibri" w:hAnsi="Calibri"/>
          <w:b/>
          <w:color w:val="525866"/>
          <w:sz w:val="22"/>
        </w:rPr>
        <w:t>gap between FY consensus (~$4.20B EBITDA) and guidance midpoint ($4.10B) represents a ~2.5% cushion</w:t>
      </w:r>
      <w:r>
        <w:rPr>
          <w:rFonts w:ascii="Calibri" w:hAnsi="Calibri"/>
          <w:color w:val="525866"/>
          <w:sz w:val="22"/>
        </w:rPr>
        <w:t xml:space="preserve"> that could compress if H2 risks materialize.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 May 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$2.236</w:t>
            </w:r>
          </w:p>
        </w:tc>
        <w:tc>
          <w:tcPr>
            <w:tcW w:type="dxa" w:w="1080"/>
          </w:tcPr>
          <w:p>
            <w:r>
              <w:rPr>
                <w:rFonts w:ascii="Calibri" w:hAnsi="Calibri"/>
                <w:sz w:val="22"/>
              </w:rPr>
              <w:t>$2.249</w:t>
            </w:r>
          </w:p>
        </w:tc>
        <w:tc>
          <w:tcPr>
            <w:tcW w:type="dxa" w:w="1080"/>
          </w:tcPr>
          <w:p>
            <w:r>
              <w:rPr>
                <w:rFonts w:ascii="Calibri" w:hAnsi="Calibri"/>
                <w:sz w:val="22"/>
              </w:rPr>
              <w:t>+0.6%</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Q2 2026</w:t>
            </w:r>
          </w:p>
        </w:tc>
        <w:tc>
          <w:tcPr>
            <w:tcW w:type="dxa" w:w="1080"/>
          </w:tcPr>
          <w:p>
            <w:r>
              <w:rPr>
                <w:rFonts w:ascii="Calibri" w:hAnsi="Calibri"/>
                <w:sz w:val="22"/>
              </w:rPr>
              <w:t>$2,224M</w:t>
            </w:r>
          </w:p>
        </w:tc>
        <w:tc>
          <w:tcPr>
            <w:tcW w:type="dxa" w:w="1080"/>
          </w:tcPr>
          <w:p>
            <w:r>
              <w:rPr>
                <w:rFonts w:ascii="Calibri" w:hAnsi="Calibri"/>
                <w:sz w:val="22"/>
              </w:rPr>
              <w:t>$2,223M</w:t>
            </w:r>
          </w:p>
        </w:tc>
        <w:tc>
          <w:tcPr>
            <w:tcW w:type="dxa" w:w="1080"/>
          </w:tcPr>
          <w:p>
            <w:r>
              <w:rPr>
                <w:rFonts w:ascii="Calibri" w:hAnsi="Calibri"/>
                <w:sz w:val="22"/>
              </w:rPr>
              <w:t>-0.1%</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$6,569M</w:t>
            </w:r>
          </w:p>
        </w:tc>
        <w:tc>
          <w:tcPr>
            <w:tcW w:type="dxa" w:w="1080"/>
          </w:tcPr>
          <w:p>
            <w:r>
              <w:rPr>
                <w:rFonts w:ascii="Calibri" w:hAnsi="Calibri"/>
                <w:sz w:val="22"/>
              </w:rPr>
              <w:t>$6,589M</w:t>
            </w:r>
          </w:p>
        </w:tc>
        <w:tc>
          <w:tcPr>
            <w:tcW w:type="dxa" w:w="1080"/>
          </w:tcPr>
          <w:p>
            <w:r>
              <w:rPr>
                <w:rFonts w:ascii="Calibri" w:hAnsi="Calibri"/>
                <w:sz w:val="22"/>
              </w:rPr>
              <w:t>+0.3%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$3.736</w:t>
            </w:r>
          </w:p>
        </w:tc>
        <w:tc>
          <w:tcPr>
            <w:tcW w:type="dxa" w:w="1080"/>
          </w:tcPr>
          <w:p>
            <w:r>
              <w:rPr>
                <w:rFonts w:ascii="Calibri" w:hAnsi="Calibri"/>
                <w:sz w:val="22"/>
              </w:rPr>
              <w:t>$3.781</w:t>
            </w:r>
          </w:p>
        </w:tc>
        <w:tc>
          <w:tcPr>
            <w:tcW w:type="dxa" w:w="1080"/>
          </w:tcPr>
          <w:p>
            <w:r>
              <w:rPr>
                <w:rFonts w:ascii="Calibri" w:hAnsi="Calibri"/>
                <w:sz w:val="22"/>
              </w:rPr>
              <w:t>+1.2%</w:t>
            </w:r>
          </w:p>
        </w:tc>
        <w:tc>
          <w:tcPr>
            <w:tcW w:type="dxa" w:w="1080"/>
          </w:tcPr>
          <w:p>
            <w:r>
              <w:rPr>
                <w:rFonts w:ascii="Calibri" w:hAnsi="Calibri"/>
                <w:sz w:val="22"/>
              </w:rPr>
              <w:t>$3.45–$3.70 ($3.575 midpoint)</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+5.7% above midpoint</w:t>
            </w:r>
          </w:p>
        </w:tc>
      </w:tr>
      <w:tr>
        <w:tc>
          <w:tcPr>
            <w:tcW w:type="dxa" w:w="1080"/>
          </w:tcPr>
          <w:p>
            <w:r>
              <w:rPr>
                <w:rFonts w:ascii="Calibri" w:hAnsi="Calibri"/>
                <w:sz w:val="22"/>
              </w:rPr>
              <w:t>Operating EBITDA — FY2026</w:t>
            </w:r>
          </w:p>
        </w:tc>
        <w:tc>
          <w:tcPr>
            <w:tcW w:type="dxa" w:w="1080"/>
          </w:tcPr>
          <w:p>
            <w:r>
              <w:rPr>
                <w:rFonts w:ascii="Calibri" w:hAnsi="Calibri"/>
                <w:sz w:val="22"/>
              </w:rPr>
              <w:t>$4,195M</w:t>
            </w:r>
          </w:p>
        </w:tc>
        <w:tc>
          <w:tcPr>
            <w:tcW w:type="dxa" w:w="1080"/>
          </w:tcPr>
          <w:p>
            <w:r>
              <w:rPr>
                <w:rFonts w:ascii="Calibri" w:hAnsi="Calibri"/>
                <w:sz w:val="22"/>
              </w:rPr>
              <w:t>$4,203M</w:t>
            </w:r>
          </w:p>
        </w:tc>
        <w:tc>
          <w:tcPr>
            <w:tcW w:type="dxa" w:w="1080"/>
          </w:tcPr>
          <w:p>
            <w:r>
              <w:rPr>
                <w:rFonts w:ascii="Calibri" w:hAnsi="Calibri"/>
                <w:sz w:val="22"/>
              </w:rPr>
              <w:t>+0.2%</w:t>
            </w:r>
          </w:p>
        </w:tc>
        <w:tc>
          <w:tcPr>
            <w:tcW w:type="dxa" w:w="1080"/>
          </w:tcPr>
          <w:p>
            <w:r>
              <w:rPr>
                <w:rFonts w:ascii="Calibri" w:hAnsi="Calibri"/>
                <w:sz w:val="22"/>
              </w:rPr>
              <w:t>$4.0B–$4.2B ($4.1B midpoint)</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+2.5% above midpoint</w:t>
            </w:r>
          </w:p>
        </w:tc>
      </w:tr>
      <w:tr>
        <w:tc>
          <w:tcPr>
            <w:tcW w:type="dxa" w:w="1080"/>
          </w:tcPr>
          <w:p>
            <w:r>
              <w:rPr>
                <w:rFonts w:ascii="Calibri" w:hAnsi="Calibri"/>
                <w:sz w:val="22"/>
              </w:rPr>
              <w:t>Total Revenue — FY2026</w:t>
            </w:r>
          </w:p>
        </w:tc>
        <w:tc>
          <w:tcPr>
            <w:tcW w:type="dxa" w:w="1080"/>
          </w:tcPr>
          <w:p>
            <w:r>
              <w:rPr>
                <w:rFonts w:ascii="Calibri" w:hAnsi="Calibri"/>
                <w:sz w:val="22"/>
              </w:rPr>
              <w:t>$18,329M</w:t>
            </w:r>
          </w:p>
        </w:tc>
        <w:tc>
          <w:tcPr>
            <w:tcW w:type="dxa" w:w="1080"/>
          </w:tcPr>
          <w:p>
            <w:r>
              <w:rPr>
                <w:rFonts w:ascii="Calibri" w:hAnsi="Calibri"/>
                <w:sz w:val="22"/>
              </w:rPr>
              <w:t>$18,329M</w:t>
            </w:r>
          </w:p>
        </w:tc>
        <w:tc>
          <w:tcPr>
            <w:tcW w:type="dxa" w:w="1080"/>
          </w:tcPr>
          <w:p>
            <w:r>
              <w:rPr>
                <w:rFonts w:ascii="Calibri" w:hAnsi="Calibri"/>
                <w:sz w:val="22"/>
              </w:rPr>
              <w:t>0.0%</w:t>
            </w:r>
          </w:p>
        </w:tc>
        <w:tc>
          <w:tcPr>
            <w:tcW w:type="dxa" w:w="1080"/>
          </w:tcPr>
          <w:p>
            <w:r>
              <w:rPr>
                <w:rFonts w:ascii="Calibri" w:hAnsi="Calibri"/>
                <w:sz w:val="22"/>
              </w:rPr>
              <w:t>No formal revenue guidance</w:t>
            </w:r>
          </w:p>
        </w:tc>
        <w:tc>
          <w:tcPr>
            <w:tcW w:type="dxa" w:w="1080"/>
          </w:tcPr>
          <w:p>
            <w:r>
              <w:rPr>
                <w:rFonts w:ascii="Calibri" w:hAnsi="Calibri"/>
                <w:sz w:val="22"/>
              </w:rPr>
              <w:t>No formal revenue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as of May 12, 2026 (5 trading days after May 5, 2026 earnings release). Current consensus as of July 29, 2026.</w:t>
      </w:r>
    </w:p>
    <w:p>
      <w:r>
        <w:rPr>
          <w:rFonts w:ascii="Calibri" w:hAnsi="Calibri"/>
          <w:b/>
          <w:color w:val="525866"/>
          <w:sz w:val="22"/>
        </w:rPr>
        <w:t xml:space="preserve">Commentary: </w:t>
      </w:r>
      <w:r>
        <w:rPr>
          <w:rFonts w:ascii="Calibri" w:hAnsi="Calibri"/>
          <w:color w:val="525866"/>
          <w:sz w:val="22"/>
        </w:rPr>
        <w:t>Estimates have been remarkably stable since Q1 earnings — Q2 EBITDA consensus is essentially flat (-0.1%) and FY EBITDA is up just +0.2%. This stability reflects the Street’s confidence in management’s execution on controllables (productivity, royalty journey, separation) while maintaining caution on the macro/CP environment. The key question on the Q2 call is whether management will raise FY guidance given the strong H1 performance, or continue to hold the range pending H2 visibility. FMC’s guidance cut today (July 29) adds a new headwind to that calculus.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CTVA has </w:t>
      </w:r>
    </w:p>
    <w:p>
      <w:r>
        <w:rPr>
          <w:rFonts w:ascii="Calibri" w:hAnsi="Calibri"/>
          <w:b/>
          <w:color w:val="525866"/>
          <w:sz w:val="22"/>
        </w:rPr>
        <w:t>significantly outperformed since Q1 earnings</w:t>
      </w:r>
      <w:r>
        <w:rPr>
          <w:rFonts w:ascii="Calibri" w:hAnsi="Calibri"/>
          <w:color w:val="525866"/>
          <w:sz w:val="22"/>
        </w:rPr>
        <w:t xml:space="preserve"> (stock up ~+15% from ~$78 to ~$90), driven by a combination of estimate revisions (modest), multiple expansion (primary driver), and separation/royalty sentiment. The stock’s re-rating reflects growing investor confidence in the Vylor/New Corteva separation thesis and the royalty-positive milestone, rather than a fundamental earnings acceleration.</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Period</w:t>
            </w:r>
          </w:p>
        </w:tc>
        <w:tc>
          <w:tcPr>
            <w:tcW w:type="dxa" w:w="2880"/>
            <w:shd w:val="clear" w:color="auto" w:fill="3B4259"/>
          </w:tcPr>
          <w:p>
            <w:r>
              <w:rPr>
                <w:rFonts w:ascii="Calibri" w:hAnsi="Calibri"/>
                <w:b/>
                <w:color w:val="FFFFFF"/>
                <w:sz w:val="22"/>
              </w:rPr>
              <w:t>CTVA Price</w:t>
            </w:r>
          </w:p>
        </w:tc>
        <w:tc>
          <w:tcPr>
            <w:tcW w:type="dxa" w:w="2880"/>
            <w:shd w:val="clear" w:color="auto" w:fill="3B4259"/>
          </w:tcPr>
          <w:p>
            <w:r>
              <w:rPr>
                <w:rFonts w:ascii="Calibri" w:hAnsi="Calibri"/>
                <w:b/>
                <w:color w:val="FFFFFF"/>
                <w:sz w:val="22"/>
              </w:rPr>
              <w:t>Key Event</w:t>
            </w:r>
          </w:p>
        </w:tc>
      </w:tr>
      <w:tr>
        <w:tc>
          <w:tcPr>
            <w:tcW w:type="dxa" w:w="2880"/>
          </w:tcPr>
          <w:p>
            <w:r>
              <w:rPr>
                <w:rFonts w:ascii="Calibri" w:hAnsi="Calibri"/>
                <w:sz w:val="22"/>
              </w:rPr>
              <w:t>May 5, 2026 (Q1 Earnings)</w:t>
            </w:r>
          </w:p>
        </w:tc>
        <w:tc>
          <w:tcPr>
            <w:tcW w:type="dxa" w:w="2880"/>
          </w:tcPr>
          <w:p>
            <w:r>
              <w:rPr>
                <w:rFonts w:ascii="Calibri" w:hAnsi="Calibri"/>
                <w:sz w:val="22"/>
              </w:rPr>
              <w:t>~$78</w:t>
            </w:r>
          </w:p>
        </w:tc>
        <w:tc>
          <w:tcPr>
            <w:tcW w:type="dxa" w:w="2880"/>
          </w:tcPr>
          <w:p>
            <w:r>
              <w:rPr>
                <w:rFonts w:ascii="Calibri" w:hAnsi="Calibri"/>
                <w:sz w:val="22"/>
              </w:rPr>
              <w:t>Q1 beat; guidance reaffirmed; royalty positive milestone announced; stock modestly positive in after-hours</w:t>
            </w:r>
          </w:p>
        </w:tc>
      </w:tr>
      <w:tr>
        <w:tc>
          <w:tcPr>
            <w:tcW w:type="dxa" w:w="2880"/>
          </w:tcPr>
          <w:p>
            <w:r>
              <w:rPr>
                <w:rFonts w:ascii="Calibri" w:hAnsi="Calibri"/>
                <w:sz w:val="22"/>
              </w:rPr>
              <w:t>May 14, 2026</w:t>
            </w:r>
          </w:p>
        </w:tc>
        <w:tc>
          <w:tcPr>
            <w:tcW w:type="dxa" w:w="2880"/>
          </w:tcPr>
          <w:p>
            <w:r>
              <w:rPr>
                <w:rFonts w:ascii="Calibri" w:hAnsi="Calibri"/>
                <w:sz w:val="22"/>
              </w:rPr>
              <w:t>~$80</w:t>
            </w:r>
          </w:p>
        </w:tc>
        <w:tc>
          <w:tcPr>
            <w:tcW w:type="dxa" w:w="2880"/>
          </w:tcPr>
          <w:p>
            <w:r>
              <w:rPr>
                <w:rFonts w:ascii="Calibri" w:hAnsi="Calibri"/>
                <w:sz w:val="22"/>
              </w:rPr>
              <w:t>BMO Farm to Market Conference — confident tone; dis-synergies trending favorable</w:t>
            </w:r>
          </w:p>
        </w:tc>
      </w:tr>
      <w:tr>
        <w:tc>
          <w:tcPr>
            <w:tcW w:type="dxa" w:w="2880"/>
          </w:tcPr>
          <w:p>
            <w:r>
              <w:rPr>
                <w:rFonts w:ascii="Calibri" w:hAnsi="Calibri"/>
                <w:sz w:val="22"/>
              </w:rPr>
              <w:t>June 12, 2026</w:t>
            </w:r>
          </w:p>
        </w:tc>
        <w:tc>
          <w:tcPr>
            <w:tcW w:type="dxa" w:w="2880"/>
          </w:tcPr>
          <w:p>
            <w:r>
              <w:rPr>
                <w:rFonts w:ascii="Calibri" w:hAnsi="Calibri"/>
                <w:sz w:val="22"/>
              </w:rPr>
              <w:t>~$84</w:t>
            </w:r>
          </w:p>
        </w:tc>
        <w:tc>
          <w:tcPr>
            <w:tcW w:type="dxa" w:w="2880"/>
          </w:tcPr>
          <w:p>
            <w:r>
              <w:rPr>
                <w:rFonts w:ascii="Calibri" w:hAnsi="Calibri"/>
                <w:sz w:val="22"/>
              </w:rPr>
              <w:t>8-K/A: Restructuring charges increased by $100–$115M; Spain site closure announced</w:t>
            </w:r>
          </w:p>
        </w:tc>
      </w:tr>
      <w:tr>
        <w:tc>
          <w:tcPr>
            <w:tcW w:type="dxa" w:w="2880"/>
          </w:tcPr>
          <w:p>
            <w:r>
              <w:rPr>
                <w:rFonts w:ascii="Calibri" w:hAnsi="Calibri"/>
                <w:sz w:val="22"/>
              </w:rPr>
              <w:t>June 17, 2026</w:t>
            </w:r>
          </w:p>
        </w:tc>
        <w:tc>
          <w:tcPr>
            <w:tcW w:type="dxa" w:w="2880"/>
          </w:tcPr>
          <w:p>
            <w:r>
              <w:rPr>
                <w:rFonts w:ascii="Calibri" w:hAnsi="Calibri"/>
                <w:sz w:val="22"/>
              </w:rPr>
              <w:t>~$85</w:t>
            </w:r>
          </w:p>
        </w:tc>
        <w:tc>
          <w:tcPr>
            <w:tcW w:type="dxa" w:w="2880"/>
          </w:tcPr>
          <w:p>
            <w:r>
              <w:rPr>
                <w:rFonts w:ascii="Calibri" w:hAnsi="Calibri"/>
                <w:sz w:val="22"/>
              </w:rPr>
              <w:t>Wolfe Materials of the Future Conference — EU gene editing regulation passed; dis-synergies upgraded to ‘pretty significantly favorable’</w:t>
            </w:r>
          </w:p>
        </w:tc>
      </w:tr>
      <w:tr>
        <w:tc>
          <w:tcPr>
            <w:tcW w:type="dxa" w:w="2880"/>
          </w:tcPr>
          <w:p>
            <w:r>
              <w:rPr>
                <w:rFonts w:ascii="Calibri" w:hAnsi="Calibri"/>
                <w:sz w:val="22"/>
              </w:rPr>
              <w:t>June 29, 2026</w:t>
            </w:r>
          </w:p>
        </w:tc>
        <w:tc>
          <w:tcPr>
            <w:tcW w:type="dxa" w:w="2880"/>
          </w:tcPr>
          <w:p>
            <w:r>
              <w:rPr>
                <w:rFonts w:ascii="Calibri" w:hAnsi="Calibri"/>
                <w:sz w:val="22"/>
              </w:rPr>
              <w:t>~$85</w:t>
            </w:r>
          </w:p>
        </w:tc>
        <w:tc>
          <w:tcPr>
            <w:tcW w:type="dxa" w:w="2880"/>
          </w:tcPr>
          <w:p>
            <w:r>
              <w:rPr>
                <w:rFonts w:ascii="Calibri" w:hAnsi="Calibri"/>
                <w:sz w:val="22"/>
              </w:rPr>
              <w:t>Vylor Form 10 publicly filed; post-separation board composition announced</w:t>
            </w:r>
          </w:p>
        </w:tc>
      </w:tr>
      <w:tr>
        <w:tc>
          <w:tcPr>
            <w:tcW w:type="dxa" w:w="2880"/>
          </w:tcPr>
          <w:p>
            <w:r>
              <w:rPr>
                <w:rFonts w:ascii="Calibri" w:hAnsi="Calibri"/>
                <w:sz w:val="22"/>
              </w:rPr>
              <w:t>July 29, 2026 (Pre-Earnings)</w:t>
            </w:r>
          </w:p>
        </w:tc>
        <w:tc>
          <w:tcPr>
            <w:tcW w:type="dxa" w:w="2880"/>
          </w:tcPr>
          <w:p>
            <w:r>
              <w:rPr>
                <w:rFonts w:ascii="Calibri" w:hAnsi="Calibri"/>
                <w:sz w:val="22"/>
              </w:rPr>
              <w:t>~$90</w:t>
            </w:r>
          </w:p>
        </w:tc>
        <w:tc>
          <w:tcPr>
            <w:tcW w:type="dxa" w:w="2880"/>
          </w:tcPr>
          <w:p>
            <w:r>
              <w:rPr>
                <w:rFonts w:ascii="Calibri" w:hAnsi="Calibri"/>
                <w:sz w:val="22"/>
              </w:rPr>
              <w:t>FMC Q2 results: EBITDA beat but FY guidance cut — potential headwind for CTVA CP sentiment</w:t>
            </w:r>
          </w:p>
        </w:tc>
      </w:tr>
    </w:tbl>
    <w:p>
      <w:r>
        <w:rPr>
          <w:rFonts w:ascii="Calibri" w:hAnsi="Calibri"/>
          <w:b/>
          <w:color w:val="525866"/>
          <w:sz w:val="22"/>
        </w:rPr>
        <w:t xml:space="preserve">Chart Note: </w:t>
      </w:r>
      <w:r>
        <w:rPr>
          <w:rFonts w:ascii="Calibri" w:hAnsi="Calibri"/>
          <w:color w:val="525866"/>
          <w:sz w:val="22"/>
        </w:rPr>
        <w:t>CTVA vs. MOO (VanEck Agribusiness ETF) vs. S&amp;P 500 — indexed to 100 at May 5, 2026 (Q1 earnings date). CTVA has materially outperformed both MOO and the S&amp;P 500 since Q1 earnings, with the gap widening following the EU gene editing regulation passage (June 17) and Vylor Form 10 filing (June 29). MOO is the appropriate sector ETF given CTVA’s pure-play agriculture positioning. Key events marked: Q1 Earnings (May 5), BMO Conference (May 14), Restructuring 8-K/A (June 12), Wolfe Conference / EU Gene Editing Vote (June 17), Vylor Form 10 Filing (June 29).</w:t>
      </w:r>
    </w:p>
    <w:p>
      <w:pPr>
        <w:pStyle w:val="Heading2"/>
      </w:pPr>
      <w:r>
        <w:rPr>
          <w:rFonts w:ascii="Calibri" w:hAnsi="Calibri"/>
          <w:b/>
          <w:color w:val="3B4259"/>
          <w:sz w:val="28"/>
        </w:rPr>
        <w:t>6. Material News &amp; Developments (Since Q1 Earnings, May 5, 2026)</w:t>
      </w:r>
    </w:p>
    <w:p>
      <w:r>
        <w:rPr>
          <w:rFonts w:ascii="Calibri" w:hAnsi="Calibri"/>
          <w:b/>
          <w:color w:val="525866"/>
          <w:sz w:val="22"/>
        </w:rPr>
        <w:t xml:space="preserve">Key Takeaway: </w:t>
      </w:r>
      <w:r>
        <w:rPr>
          <w:rFonts w:ascii="Calibri" w:hAnsi="Calibri"/>
          <w:color w:val="525866"/>
          <w:sz w:val="22"/>
        </w:rPr>
        <w:t xml:space="preserve">The most important development is the </w:t>
      </w:r>
    </w:p>
    <w:p>
      <w:r>
        <w:rPr>
          <w:rFonts w:ascii="Calibri" w:hAnsi="Calibri"/>
          <w:b/>
          <w:color w:val="525866"/>
          <w:sz w:val="22"/>
        </w:rPr>
        <w:t>EU Parliament’s passage of the New Genomic Techniques (NGT) regulation on June 17</w:t>
      </w:r>
      <w:r>
        <w:rPr>
          <w:rFonts w:ascii="Calibri" w:hAnsi="Calibri"/>
          <w:color w:val="525866"/>
          <w:sz w:val="22"/>
        </w:rPr>
        <w:t xml:space="preserve"> — a 30-year regulatory barrier removed that directly expands Corteva/Vylor’s addressable market in European corn and oilseed rape. Combined with the Vylor Form 10 filing and dis-synergy upgrade, the separation narrative has materially strengthened since Q1.</w:t>
      </w:r>
    </w:p>
    <w:p>
      <w:pPr>
        <w:pStyle w:val="ListBullet"/>
        <w:ind w:left="360" w:hanging="360"/>
      </w:pPr>
      <w:r>
        <w:rPr>
          <w:rFonts w:ascii="Calibri" w:hAnsi="Calibri"/>
          <w:b/>
          <w:color w:val="525866"/>
          <w:sz w:val="22"/>
        </w:rPr>
        <w:t>June 17, 2026 — EU Parliament Passes New Genomic Techniques (NGT) Regulation:</w:t>
      </w:r>
      <w:r>
        <w:rPr>
          <w:rFonts w:ascii="Calibri" w:hAnsi="Calibri"/>
          <w:color w:val="525866"/>
          <w:sz w:val="22"/>
        </w:rPr>
        <w:t xml:space="preserve"> The EU Parliament voted to approve the NGT framework, enabling cultivation of gene-edited crops in Europe for the first time after a 30+ year GMO ban. Category 1 gene-edited plants will be treated like conventional varieties; Category 2 subject to GMO rules. Full implementation expected ~mid-2028. Management at the Wolfe Conference (June 17) called this a ‘huge step forward’ that changes the global regulatory conversation, including in China. Corteva’s first gene-edited commercial corn hybrid (disease super locus) is targeted for 2028 launch. </w:t>
      </w:r>
    </w:p>
    <w:p>
      <w:pPr>
        <w:pStyle w:val="ListBullet"/>
        <w:ind w:left="360" w:hanging="360"/>
      </w:pPr>
      <w:r>
        <w:rPr>
          <w:rFonts w:ascii="Calibri" w:hAnsi="Calibri"/>
          <w:b/>
          <w:color w:val="525866"/>
          <w:sz w:val="22"/>
        </w:rPr>
        <w:t>Implication:</w:t>
      </w:r>
      <w:r>
        <w:rPr>
          <w:rFonts w:ascii="Calibri" w:hAnsi="Calibri"/>
          <w:color w:val="525866"/>
          <w:sz w:val="22"/>
        </w:rPr>
        <w:t xml:space="preserve"> Directly expands Vylor’s European addressable market in corn and oilseed rape; strengthens the long-term valuation case for the seed spin.</w:t>
      </w:r>
    </w:p>
    <w:p>
      <w:pPr>
        <w:pStyle w:val="ListBullet"/>
        <w:ind w:left="360" w:hanging="360"/>
      </w:pPr>
      <w:r>
        <w:rPr>
          <w:rFonts w:ascii="Calibri" w:hAnsi="Calibri"/>
          <w:b/>
          <w:color w:val="525866"/>
          <w:sz w:val="22"/>
        </w:rPr>
        <w:t>June 29, 2026 — Vylor Form 10 Publicly Filed; Post-Separation Boards Announced:</w:t>
      </w:r>
      <w:r>
        <w:rPr>
          <w:rFonts w:ascii="Calibri" w:hAnsi="Calibri"/>
          <w:color w:val="525866"/>
          <w:sz w:val="22"/>
        </w:rPr>
        <w:t xml:space="preserve"> Corteva’s subsidiary Vylor, Inc. filed its first public Form 10 registration statement with the SEC, providing detailed information on Vylor’s business, strategy, and historical financial results. Simultaneously, four Corteva directors (Karen Grimes, Marcos Lutz, Charles Magro, Kerry Preete) agreed to resign from the Corteva board effective at separation to join the Vylor board. Post-separation boards for both Corteva and Vylor were announced. </w:t>
      </w:r>
    </w:p>
    <w:p>
      <w:pPr>
        <w:pStyle w:val="ListBullet"/>
        <w:ind w:left="360" w:hanging="360"/>
      </w:pPr>
      <w:r>
        <w:rPr>
          <w:rFonts w:ascii="Calibri" w:hAnsi="Calibri"/>
          <w:b/>
          <w:color w:val="525866"/>
          <w:sz w:val="22"/>
        </w:rPr>
        <w:t>Implication:</w:t>
      </w:r>
      <w:r>
        <w:rPr>
          <w:rFonts w:ascii="Calibri" w:hAnsi="Calibri"/>
          <w:color w:val="525866"/>
          <w:sz w:val="22"/>
        </w:rPr>
        <w:t xml:space="preserve"> Separation execution is on track for Q4 2026; Form 10 filing is a key milestone that allows investors to begin valuing Vylor independently.</w:t>
      </w:r>
    </w:p>
    <w:p>
      <w:pPr>
        <w:pStyle w:val="ListBullet"/>
        <w:ind w:left="360" w:hanging="360"/>
      </w:pPr>
      <w:r>
        <w:rPr>
          <w:rFonts w:ascii="Calibri" w:hAnsi="Calibri"/>
          <w:b/>
          <w:color w:val="525866"/>
          <w:sz w:val="22"/>
        </w:rPr>
        <w:t>June 12, 2026 — Restructuring Charges Increased by $100–$115M; Spain Site Closure Announced (8-K/A):</w:t>
      </w:r>
      <w:r>
        <w:rPr>
          <w:rFonts w:ascii="Calibri" w:hAnsi="Calibri"/>
          <w:color w:val="525866"/>
          <w:sz w:val="22"/>
        </w:rPr>
        <w:t xml:space="preserve"> Corteva amended its Crop Protection Operations Strategy Restructuring Program to include the intended cessation of production at its Asturias, Spain site (subject to works council consultation) and revised estimates for the Pittsburg, California exit. Aggregate pre-tax restructuring charges now expected at $750–$815M (up from prior estimate). Cash payments of $400–$443M expected in aggregate. Actions substantially complete by end of 2028. </w:t>
      </w:r>
    </w:p>
    <w:p>
      <w:pPr>
        <w:pStyle w:val="ListBullet"/>
        <w:ind w:left="360" w:hanging="360"/>
      </w:pPr>
      <w:r>
        <w:rPr>
          <w:rFonts w:ascii="Calibri" w:hAnsi="Calibri"/>
          <w:b/>
          <w:color w:val="525866"/>
          <w:sz w:val="22"/>
        </w:rPr>
        <w:t>Implication:</w:t>
      </w:r>
      <w:r>
        <w:rPr>
          <w:rFonts w:ascii="Calibri" w:hAnsi="Calibri"/>
          <w:color w:val="525866"/>
          <w:sz w:val="22"/>
        </w:rPr>
        <w:t xml:space="preserve"> Incremental restructuring charges are non-cash/non-operating for Operating EBITDA purposes but signal continued CP footprint optimization; land sale conditions at Pittsburg agreed, subject to due diligence.</w:t>
      </w:r>
    </w:p>
    <w:p>
      <w:pPr>
        <w:pStyle w:val="ListBullet"/>
        <w:ind w:left="360" w:hanging="360"/>
      </w:pPr>
      <w:r>
        <w:rPr>
          <w:rFonts w:ascii="Calibri" w:hAnsi="Calibri"/>
          <w:b/>
          <w:color w:val="525866"/>
          <w:sz w:val="22"/>
        </w:rPr>
        <w:t>June 17, 2026 — FMC Announces $200M Rimisoxafen Licensing Deal with Corteva (Wolfe Conference):</w:t>
      </w:r>
      <w:r>
        <w:rPr>
          <w:rFonts w:ascii="Calibri" w:hAnsi="Calibri"/>
          <w:color w:val="525866"/>
          <w:sz w:val="22"/>
        </w:rPr>
        <w:t xml:space="preserve"> FMC confirmed it signed a licensing agreement for rimisoxafen (a novel dual-mode-of-action herbicide for corn and soy in the Americas) with Corteva for a $200M upfront prepayment. First registration anticipated in 2028. FMC retains manufacturing and will sell to Corteva at cost-plus. Corteva will have the right to sell its own formulations for corn/soy in the Americas. </w:t>
      </w:r>
    </w:p>
    <w:p>
      <w:pPr>
        <w:pStyle w:val="ListBullet"/>
        <w:ind w:left="360" w:hanging="360"/>
      </w:pPr>
      <w:r>
        <w:rPr>
          <w:rFonts w:ascii="Calibri" w:hAnsi="Calibri"/>
          <w:b/>
          <w:color w:val="525866"/>
          <w:sz w:val="22"/>
        </w:rPr>
        <w:t>Implication:</w:t>
      </w:r>
      <w:r>
        <w:rPr>
          <w:rFonts w:ascii="Calibri" w:hAnsi="Calibri"/>
          <w:color w:val="525866"/>
          <w:sz w:val="22"/>
        </w:rPr>
        <w:t xml:space="preserve"> Strengthens CTVA’s new CP product pipeline; the $200M payment was confirmed as closed in FMC’s Q2 2026 earnings release (July 29), confirming the cash outflow occurred in Q2.</w:t>
      </w:r>
    </w:p>
    <w:p>
      <w:pPr>
        <w:pStyle w:val="ListBullet"/>
        <w:ind w:left="360" w:hanging="360"/>
      </w:pPr>
      <w:r>
        <w:rPr>
          <w:rFonts w:ascii="Calibri" w:hAnsi="Calibri"/>
          <w:b/>
          <w:color w:val="525866"/>
          <w:sz w:val="22"/>
        </w:rPr>
        <w:t>July 29, 2026 — FMC Q2 2026 Results: EBITDA Beat but Full-Year Guidance Cut:</w:t>
      </w:r>
      <w:r>
        <w:rPr>
          <w:rFonts w:ascii="Calibri" w:hAnsi="Calibri"/>
          <w:color w:val="525866"/>
          <w:sz w:val="22"/>
        </w:rPr>
        <w:t xml:space="preserve"> FMC reported Q2 EBITDA of $153M (above the Street’s $144M estimate) but lowered full-year EBITDA guidance to $620–$680M from $670–$730M, citing ‘a more challenging operating environment’ and weaker customer purchasing patterns. Q2 revenue of $867M was down 17% YoY; volumes declined 10%; pricing fell 7%. Latin America revenue fell to $278M from $310M in Q2 2025. </w:t>
      </w:r>
    </w:p>
    <w:p>
      <w:pPr>
        <w:pStyle w:val="ListBullet"/>
        <w:ind w:left="360" w:hanging="360"/>
      </w:pPr>
      <w:r>
        <w:rPr>
          <w:rFonts w:ascii="Calibri" w:hAnsi="Calibri"/>
          <w:b/>
          <w:color w:val="525866"/>
          <w:sz w:val="22"/>
        </w:rPr>
        <w:t>Implication:</w:t>
      </w:r>
      <w:r>
        <w:rPr>
          <w:rFonts w:ascii="Calibri" w:hAnsi="Calibri"/>
          <w:color w:val="525866"/>
          <w:sz w:val="22"/>
        </w:rPr>
        <w:t xml:space="preserve"> Direct negative read-through for CTVA’s CP segment, particularly Latin America. Raises risk that CTVA’s H2 CP volume and pricing assumptions may be too optimistic. Key watch item on the Q2 call.</w:t>
      </w:r>
    </w:p>
    <w:p>
      <w:pPr>
        <w:pStyle w:val="ListBullet"/>
        <w:ind w:left="360" w:hanging="360"/>
      </w:pPr>
      <w:r>
        <w:rPr>
          <w:rFonts w:ascii="Calibri" w:hAnsi="Calibri"/>
          <w:b/>
          <w:color w:val="525866"/>
          <w:sz w:val="22"/>
        </w:rPr>
        <w:t>May 14, 2026 — BMO Global Farm to Market Conference:</w:t>
      </w:r>
      <w:r>
        <w:rPr>
          <w:rFonts w:ascii="Calibri" w:hAnsi="Calibri"/>
          <w:color w:val="525866"/>
          <w:sz w:val="22"/>
        </w:rPr>
        <w:t xml:space="preserve"> Management reaffirmed $4.1B EBITDA midpoint comfort, confirmed royalty positive status for 2026 (first time), noted dis-synergies trending ‘a little favorable’ to $100M net estimate, and disclosed $20M CP input cost headwind expected in H2 from higher energy pricing on actives from China. </w:t>
      </w:r>
    </w:p>
    <w:p>
      <w:pPr>
        <w:pStyle w:val="ListBullet"/>
        <w:ind w:left="360" w:hanging="360"/>
      </w:pPr>
      <w:r>
        <w:rPr>
          <w:rFonts w:ascii="Calibri" w:hAnsi="Calibri"/>
          <w:b/>
          <w:color w:val="525866"/>
          <w:sz w:val="22"/>
        </w:rPr>
        <w:t>Implication:</w:t>
      </w:r>
      <w:r>
        <w:rPr>
          <w:rFonts w:ascii="Calibri" w:hAnsi="Calibri"/>
          <w:color w:val="525866"/>
          <w:sz w:val="22"/>
        </w:rPr>
        <w:t xml:space="preserve"> Provided incremental confidence on FY guidance and separation execution; $20M CP headwind is a subset of the $40M total oil headwind guided at Q1.</w:t>
      </w:r>
    </w:p>
    <w:p>
      <w:pPr>
        <w:pStyle w:val="ListBullet"/>
        <w:ind w:left="360" w:hanging="360"/>
      </w:pPr>
      <w:r>
        <w:rPr>
          <w:rFonts w:ascii="Calibri" w:hAnsi="Calibri"/>
          <w:b/>
          <w:color w:val="525866"/>
          <w:sz w:val="22"/>
        </w:rPr>
        <w:t>June 10, 2026 — Corteva Participates in Wolfe Materials of the Future Conference:</w:t>
      </w:r>
      <w:r>
        <w:rPr>
          <w:rFonts w:ascii="Calibri" w:hAnsi="Calibri"/>
          <w:color w:val="525866"/>
          <w:sz w:val="22"/>
        </w:rPr>
        <w:t xml:space="preserve"> Management presented at the Wolfe conference alongside FMC and other materials/chemicals peers. Key disclosures: dis-synergy estimate upgraded to ‘pretty significantly favorable’ (from ‘a little bit favorable’ at BMO); formal updated number promised at Q2 earnings call. Hybrid wheat launch confirmed for 2027 (US, hard red winter wheat). AI agents deployed as autonomous plant breeders. </w:t>
      </w:r>
    </w:p>
    <w:p>
      <w:pPr>
        <w:pStyle w:val="ListBullet"/>
        <w:ind w:left="360" w:hanging="360"/>
      </w:pPr>
      <w:r>
        <w:rPr>
          <w:rFonts w:ascii="Calibri" w:hAnsi="Calibri"/>
          <w:b/>
          <w:color w:val="525866"/>
          <w:sz w:val="22"/>
        </w:rPr>
        <w:t>Implication:</w:t>
      </w:r>
      <w:r>
        <w:rPr>
          <w:rFonts w:ascii="Calibri" w:hAnsi="Calibri"/>
          <w:color w:val="525866"/>
          <w:sz w:val="22"/>
        </w:rPr>
        <w:t xml:space="preserve"> Dis-synergy upgrade is a meaningful positive catalyst for the Q2 call; the formal number will be a key focus for investors.</w:t>
      </w:r>
    </w:p>
    <w:p>
      <w:pPr>
        <w:pStyle w:val="ListBullet"/>
        <w:ind w:left="360" w:hanging="360"/>
      </w:pPr>
      <w:r>
        <w:rPr>
          <w:rFonts w:ascii="Calibri" w:hAnsi="Calibri"/>
          <w:b/>
          <w:color w:val="525866"/>
          <w:sz w:val="22"/>
        </w:rPr>
        <w:t>July 8, 2026 — CF Industries Announces 20% Dividend Increase:</w:t>
      </w:r>
      <w:r>
        <w:rPr>
          <w:rFonts w:ascii="Calibri" w:hAnsi="Calibri"/>
          <w:color w:val="525866"/>
          <w:sz w:val="22"/>
        </w:rPr>
        <w:t xml:space="preserve"> CF Industries (nitrogen fertilizer) raised its quarterly dividend by 20%, signaling confidence in the fertilizer demand environment. </w:t>
      </w:r>
    </w:p>
    <w:p>
      <w:pPr>
        <w:pStyle w:val="ListBullet"/>
        <w:ind w:left="360" w:hanging="360"/>
      </w:pPr>
      <w:r>
        <w:rPr>
          <w:rFonts w:ascii="Calibri" w:hAnsi="Calibri"/>
          <w:b/>
          <w:color w:val="525866"/>
          <w:sz w:val="22"/>
        </w:rPr>
        <w:t>Implication:</w:t>
      </w:r>
      <w:r>
        <w:rPr>
          <w:rFonts w:ascii="Calibri" w:hAnsi="Calibri"/>
          <w:color w:val="525866"/>
          <w:sz w:val="22"/>
        </w:rPr>
        <w:t xml:space="preserve"> Indirect positive for CTVA — strong fertilizer demand signals healthy farmer activity and crop acreage, supporting seed and CP demand.</w:t>
      </w:r>
    </w:p>
    <w:p>
      <w:r>
        <w:br w:type="page"/>
      </w:r>
    </w:p>
    <w:p>
      <w:pPr>
        <w:pStyle w:val="Heading2"/>
      </w:pPr>
      <w:r>
        <w:rPr>
          <w:rFonts w:ascii="Calibri" w:hAnsi="Calibri"/>
          <w:b/>
          <w:color w:val="3B4259"/>
          <w:sz w:val="28"/>
        </w:rPr>
        <w:t>7. Insider Transaction Activity (Since Q1 Earnings, May 5, 2026)</w:t>
      </w:r>
    </w:p>
    <w:p>
      <w:r>
        <w:rPr>
          <w:rFonts w:ascii="Calibri" w:hAnsi="Calibri"/>
          <w:b/>
          <w:color w:val="525866"/>
          <w:sz w:val="22"/>
        </w:rPr>
        <w:t xml:space="preserve">Key Takeaway: </w:t>
      </w:r>
      <w:r>
        <w:rPr>
          <w:rFonts w:ascii="Calibri" w:hAnsi="Calibri"/>
          <w:color w:val="525866"/>
          <w:sz w:val="22"/>
        </w:rPr>
        <w:t xml:space="preserve">No open-market insider buy or sell transactions for CTVA were identified in the research data for the period since Q1 earnings (May 5 – July 29, 2026). The absence of insider selling ahead of a major separation event and a stock that has rallied ~15% is </w:t>
      </w:r>
    </w:p>
    <w:p>
      <w:r>
        <w:rPr>
          <w:rFonts w:ascii="Calibri" w:hAnsi="Calibri"/>
          <w:b/>
          <w:color w:val="525866"/>
          <w:sz w:val="22"/>
        </w:rPr>
        <w:t>notable and broadly constructive</w:t>
      </w:r>
      <w:r>
        <w:rPr>
          <w:rFonts w:ascii="Calibri" w:hAnsi="Calibri"/>
          <w:color w:val="525866"/>
          <w:sz w:val="22"/>
        </w:rPr>
        <w:t xml:space="preserve"> — insiders are not taking profits into the run-up.</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insider transactions (Form 4 codes P/S) identified for CTVA in the May 5 – July 29, 2026 window. Typical blackout period applies ahead of July 31 earnings.</w:t>
            </w:r>
          </w:p>
        </w:tc>
      </w:tr>
    </w:tbl>
    <w:p>
      <w:r>
        <w:rPr>
          <w:rFonts w:ascii="Calibri" w:hAnsi="Calibri"/>
          <w:b/>
          <w:color w:val="525866"/>
          <w:sz w:val="22"/>
        </w:rPr>
        <w:t xml:space="preserve">Note: </w:t>
      </w:r>
      <w:r>
        <w:rPr>
          <w:rFonts w:ascii="Calibri" w:hAnsi="Calibri"/>
          <w:color w:val="525866"/>
          <w:sz w:val="22"/>
        </w:rPr>
        <w:t>CTVA insiders are likely in a standard pre-earnings blackout window (typically 30 days before earnings). The lack of any pre-blackout selling following the ~15% stock rally since Q1 is a mild positive signal. No 10b5-1 plan initiations or Form 144 filings were identified in the research data for this period.</w:t>
      </w:r>
    </w:p>
    <w:p>
      <w:r>
        <w:br w:type="page"/>
      </w:r>
    </w:p>
    <w:p>
      <w:pPr>
        <w:pStyle w:val="Heading2"/>
      </w:pPr>
      <w:r>
        <w:rPr>
          <w:rFonts w:ascii="Calibri" w:hAnsi="Calibri"/>
          <w:b/>
          <w:color w:val="3B4259"/>
          <w:sz w:val="28"/>
        </w:rPr>
        <w:t>8. Peer Commentary Read-Through (Last 60 Days)</w:t>
      </w:r>
    </w:p>
    <w:p>
      <w:r>
        <w:rPr>
          <w:rFonts w:ascii="Calibri" w:hAnsi="Calibri"/>
          <w:b/>
          <w:color w:val="525866"/>
          <w:sz w:val="22"/>
        </w:rPr>
        <w:t xml:space="preserve">Key Takeaway: </w:t>
      </w:r>
      <w:r>
        <w:rPr>
          <w:rFonts w:ascii="Calibri" w:hAnsi="Calibri"/>
          <w:color w:val="525866"/>
          <w:sz w:val="22"/>
        </w:rPr>
        <w:t xml:space="preserve">Peer commentary since CTVA’s Q1 earnings (May 5, 2026) presents a </w:t>
      </w:r>
    </w:p>
    <w:p>
      <w:r>
        <w:rPr>
          <w:rFonts w:ascii="Calibri" w:hAnsi="Calibri"/>
          <w:b/>
          <w:color w:val="525866"/>
          <w:sz w:val="22"/>
        </w:rPr>
        <w:t>mixed-to-negative read-through for CTVA’s Q2 CP segment</w:t>
      </w:r>
      <w:r>
        <w:rPr>
          <w:rFonts w:ascii="Calibri" w:hAnsi="Calibri"/>
          <w:color w:val="525866"/>
          <w:sz w:val="22"/>
        </w:rPr>
        <w:t xml:space="preserve"> and a </w:t>
      </w:r>
    </w:p>
    <w:p>
      <w:r>
        <w:rPr>
          <w:rFonts w:ascii="Calibri" w:hAnsi="Calibri"/>
          <w:b/>
          <w:color w:val="525866"/>
          <w:sz w:val="22"/>
        </w:rPr>
        <w:t>broadly positive read-through for the Seed segment and new product pipeline</w:t>
      </w:r>
      <w:r>
        <w:rPr>
          <w:rFonts w:ascii="Calibri" w:hAnsi="Calibri"/>
          <w:color w:val="525866"/>
          <w:sz w:val="22"/>
        </w:rPr>
        <w:t>. FMC’s Q2 2026 results (reported today, July 29) are the most directly relevant and most negative data point: a 17% revenue decline, 10% volume decline, 7% price decline, and a full-year EBITDA guidance cut signal a more challenging CP market than CTVA’s current consensus assumes. Partially offsetting this, FMC’s Wolfe Conference commentary (June 17) confirmed strong Latin America order books for H2 and a $200M licensing deal with CTVA for rimisoxafen, and SMG’s Q3 2026 results (July 29) showed resilient consumer demand and pricing actions underway.</w:t>
      </w:r>
    </w:p>
    <w:p>
      <w:r>
        <w:rPr>
          <w:rFonts w:ascii="Calibri" w:hAnsi="Calibri"/>
          <w:b/>
          <w:color w:val="525866"/>
          <w:sz w:val="22"/>
        </w:rPr>
        <w:t xml:space="preserve">Methodology: </w:t>
      </w:r>
      <w:r>
        <w:rPr>
          <w:rFonts w:ascii="Calibri" w:hAnsi="Calibri"/>
          <w:color w:val="525866"/>
          <w:sz w:val="22"/>
        </w:rPr>
        <w:t>Only commentary from the last 60 days (May 29 – July 29, 2026) that is explicitly about CTVA’s current reporting quarter (Q2 2026, calendar April–June) or forward-looking commentary made after a peer’s own last earnings is included. Prior-quarter-only commentary (e.g., a peer discussing its own Q1 results without forward guidance) is excluded. Each item is labeled by read-through direction (Positive / Negative / Mixed) and type (Direct = specific CTVA mention or direct ag CP/Seed market; Indirect = broader chemicals/materials/consumer read-through).</w:t>
      </w:r>
    </w:p>
    <w:p>
      <w:pPr>
        <w:pStyle w:val="Heading3"/>
      </w:pPr>
      <w:r>
        <w:rPr>
          <w:rFonts w:ascii="Calibri" w:hAnsi="Calibri"/>
          <w:b/>
          <w:color w:val="3B4259"/>
          <w:sz w:val="24"/>
        </w:rPr>
        <w:t>8A. FMC Corporation (FMC) — Q2 2026 Earnings Release (July 29, 2026)</w:t>
      </w:r>
    </w:p>
    <w:p>
      <w:r>
        <w:rPr>
          <w:rFonts w:ascii="Calibri" w:hAnsi="Calibri"/>
          <w:b/>
          <w:color w:val="525866"/>
          <w:sz w:val="22"/>
        </w:rPr>
        <w:t xml:space="preserve">Read-Through Type: Direct | Overall Signal: </w:t>
      </w:r>
      <w:r>
        <w:rPr>
          <w:rFonts w:ascii="Calibri" w:hAnsi="Calibri"/>
          <w:b/>
          <w:color w:val="E5484D"/>
          <w:sz w:val="22"/>
        </w:rPr>
        <w:t>NEGATIVE</w:t>
      </w:r>
    </w:p>
    <w:p>
      <w:r>
        <w:rPr>
          <w:rFonts w:ascii="Calibri" w:hAnsi="Calibri"/>
          <w:color w:val="525866"/>
          <w:sz w:val="22"/>
        </w:rPr>
        <w:t>FMC reported Q2 2026 results this morning (July 29), making this the most timely and directly relevant peer data point heading into CTVA’s Q2 call on July 31.</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FMC Commentary</w:t>
            </w:r>
          </w:p>
        </w:tc>
        <w:tc>
          <w:tcPr>
            <w:tcW w:type="dxa" w:w="2160"/>
            <w:shd w:val="clear" w:color="auto" w:fill="3B4259"/>
          </w:tcPr>
          <w:p>
            <w:r>
              <w:rPr>
                <w:rFonts w:ascii="Calibri" w:hAnsi="Calibri"/>
                <w:b/>
                <w:color w:val="FFFFFF"/>
                <w:sz w:val="22"/>
              </w:rPr>
              <w:t>CTVA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Q2 Revenue / Volumes</w:t>
            </w:r>
          </w:p>
        </w:tc>
        <w:tc>
          <w:tcPr>
            <w:tcW w:type="dxa" w:w="2160"/>
          </w:tcPr>
          <w:p>
            <w:r>
              <w:rPr>
                <w:rFonts w:ascii="Calibri" w:hAnsi="Calibri"/>
                <w:sz w:val="22"/>
              </w:rPr>
              <w:t>Q2 revenue $867M, down 17% YoY. Organic revenue down 22%. Volumes declined 10% due to lower diamide partner orders and reduced demand for core legacy products, particularly in North America, as ‘growers contend with strained margins.’</w:t>
            </w:r>
          </w:p>
        </w:tc>
        <w:tc>
          <w:tcPr>
            <w:tcW w:type="dxa" w:w="2160"/>
          </w:tcPr>
          <w:p>
            <w:r>
              <w:rPr>
                <w:rFonts w:ascii="Calibri" w:hAnsi="Calibri"/>
                <w:sz w:val="22"/>
              </w:rPr>
              <w:t>Grower margin pressure in North America is a headwind for CTVA’s CP segment. However, CTVA’s CP mix is more differentiated (new products, biologicals, spinosyns) and less exposed to diamide partner dynamics.</w:t>
            </w:r>
          </w:p>
        </w:tc>
        <w:tc>
          <w:tcPr>
            <w:tcW w:type="dxa" w:w="2160"/>
          </w:tcPr>
          <w:p>
            <w:r>
              <w:rPr>
                <w:rFonts w:ascii="Calibri" w:hAnsi="Calibri"/>
                <w:b/>
                <w:color w:val="E5484D"/>
                <w:sz w:val="22"/>
              </w:rPr>
              <w:t>Negative</w:t>
            </w:r>
          </w:p>
        </w:tc>
      </w:tr>
      <w:tr>
        <w:tc>
          <w:tcPr>
            <w:tcW w:type="dxa" w:w="2160"/>
          </w:tcPr>
          <w:p>
            <w:r>
              <w:rPr>
                <w:rFonts w:ascii="Calibri" w:hAnsi="Calibri"/>
                <w:sz w:val="22"/>
              </w:rPr>
              <w:t>Q2 Pricing</w:t>
            </w:r>
          </w:p>
        </w:tc>
        <w:tc>
          <w:tcPr>
            <w:tcW w:type="dxa" w:w="2160"/>
          </w:tcPr>
          <w:p>
            <w:r>
              <w:rPr>
                <w:rFonts w:ascii="Calibri" w:hAnsi="Calibri"/>
                <w:sz w:val="22"/>
              </w:rPr>
              <w:t>Price declined 7% in Q2, driven by pressure on core legacy products and planned Rynaxypyr active pricing actions.</w:t>
            </w:r>
          </w:p>
        </w:tc>
        <w:tc>
          <w:tcPr>
            <w:tcW w:type="dxa" w:w="2160"/>
          </w:tcPr>
          <w:p>
            <w:r>
              <w:rPr>
                <w:rFonts w:ascii="Calibri" w:hAnsi="Calibri"/>
                <w:sz w:val="22"/>
              </w:rPr>
              <w:t>CTVA guided to low single-digit negative CP pricing for FY2026. FMC’s 7% decline is worse than CTVA’s guidance, but CTVA’s portfolio is less exposed to off-patent diamide pricing pressure.</w:t>
            </w:r>
          </w:p>
        </w:tc>
        <w:tc>
          <w:tcPr>
            <w:tcW w:type="dxa" w:w="2160"/>
          </w:tcPr>
          <w:p>
            <w:r>
              <w:rPr>
                <w:rFonts w:ascii="Calibri" w:hAnsi="Calibri"/>
                <w:b/>
                <w:color w:val="E5484D"/>
                <w:sz w:val="22"/>
              </w:rPr>
              <w:t>Negative</w:t>
            </w:r>
          </w:p>
        </w:tc>
      </w:tr>
      <w:tr>
        <w:tc>
          <w:tcPr>
            <w:tcW w:type="dxa" w:w="2160"/>
          </w:tcPr>
          <w:p>
            <w:r>
              <w:rPr>
                <w:rFonts w:ascii="Calibri" w:hAnsi="Calibri"/>
                <w:sz w:val="22"/>
              </w:rPr>
              <w:t>Latin America Revenue</w:t>
            </w:r>
          </w:p>
        </w:tc>
        <w:tc>
          <w:tcPr>
            <w:tcW w:type="dxa" w:w="2160"/>
          </w:tcPr>
          <w:p>
            <w:r>
              <w:rPr>
                <w:rFonts w:ascii="Calibri" w:hAnsi="Calibri"/>
                <w:sz w:val="22"/>
              </w:rPr>
              <w:t>Latin America revenue $278M in Q2 2026, down from $310M in Q2 2025. A $70.6M write-off of receivables was recorded due to a change in commercial strategy in Latin America as part of Project Foundation.</w:t>
            </w:r>
          </w:p>
        </w:tc>
        <w:tc>
          <w:tcPr>
            <w:tcW w:type="dxa" w:w="2160"/>
          </w:tcPr>
          <w:p>
            <w:r>
              <w:rPr>
                <w:rFonts w:ascii="Calibri" w:hAnsi="Calibri"/>
                <w:sz w:val="22"/>
              </w:rPr>
              <w:t>Direct negative read-through for CTVA’s LatAm CP business. CTVA’s H2 CP volume acceleration is heavily LatAm-dependent; FMC’s LatAm deterioration raises risk to CTVA’s H2 assumptions.</w:t>
            </w:r>
          </w:p>
        </w:tc>
        <w:tc>
          <w:tcPr>
            <w:tcW w:type="dxa" w:w="2160"/>
          </w:tcPr>
          <w:p>
            <w:r>
              <w:rPr>
                <w:rFonts w:ascii="Calibri" w:hAnsi="Calibri"/>
                <w:b/>
                <w:color w:val="E5484D"/>
                <w:sz w:val="22"/>
              </w:rPr>
              <w:t>Negative</w:t>
            </w:r>
          </w:p>
        </w:tc>
      </w:tr>
      <w:tr>
        <w:tc>
          <w:tcPr>
            <w:tcW w:type="dxa" w:w="2160"/>
          </w:tcPr>
          <w:p>
            <w:r>
              <w:rPr>
                <w:rFonts w:ascii="Calibri" w:hAnsi="Calibri"/>
                <w:sz w:val="22"/>
              </w:rPr>
              <w:t>Full-Year EBITDA Guidance Cut</w:t>
            </w:r>
          </w:p>
        </w:tc>
        <w:tc>
          <w:tcPr>
            <w:tcW w:type="dxa" w:w="2160"/>
          </w:tcPr>
          <w:p>
            <w:r>
              <w:rPr>
                <w:rFonts w:ascii="Calibri" w:hAnsi="Calibri"/>
                <w:sz w:val="22"/>
              </w:rPr>
              <w:t>FY2026 EBITDA guidance lowered to $620–$680M from $670–$730M. Cited ‘more challenging operating environment’ and ‘current view of customer purchasing patterns and market conditions.’</w:t>
            </w:r>
          </w:p>
        </w:tc>
        <w:tc>
          <w:tcPr>
            <w:tcW w:type="dxa" w:w="2160"/>
          </w:tcPr>
          <w:p>
            <w:r>
              <w:rPr>
                <w:rFonts w:ascii="Calibri" w:hAnsi="Calibri"/>
                <w:sz w:val="22"/>
              </w:rPr>
              <w:t>Most significant negative read-through. FMC’s guidance cut signals the CP market is deteriorating faster than expected. Raises risk that CTVA may face pressure to acknowledge H2 CP headwinds on its Q2 call, even if it holds FY guidance.</w:t>
            </w:r>
          </w:p>
        </w:tc>
        <w:tc>
          <w:tcPr>
            <w:tcW w:type="dxa" w:w="2160"/>
          </w:tcPr>
          <w:p>
            <w:r>
              <w:rPr>
                <w:rFonts w:ascii="Calibri" w:hAnsi="Calibri"/>
                <w:b/>
                <w:color w:val="E5484D"/>
                <w:sz w:val="22"/>
              </w:rPr>
              <w:t>Negative</w:t>
            </w:r>
          </w:p>
        </w:tc>
      </w:tr>
      <w:tr>
        <w:tc>
          <w:tcPr>
            <w:tcW w:type="dxa" w:w="2160"/>
          </w:tcPr>
          <w:p>
            <w:r>
              <w:rPr>
                <w:rFonts w:ascii="Calibri" w:hAnsi="Calibri"/>
                <w:sz w:val="22"/>
              </w:rPr>
              <w:t>Growth Portfolio / New AIs</w:t>
            </w:r>
          </w:p>
        </w:tc>
        <w:tc>
          <w:tcPr>
            <w:tcW w:type="dxa" w:w="2160"/>
          </w:tcPr>
          <w:p>
            <w:r>
              <w:rPr>
                <w:rFonts w:ascii="Calibri" w:hAnsi="Calibri"/>
                <w:sz w:val="22"/>
              </w:rPr>
              <w:t>Growth portfolio (biologicals, new AIs) grew mid-single digits. Strong demand for new formulations of Rynaxypyr. Cyazypyr still under data protection.</w:t>
            </w:r>
          </w:p>
        </w:tc>
        <w:tc>
          <w:tcPr>
            <w:tcW w:type="dxa" w:w="2160"/>
          </w:tcPr>
          <w:p>
            <w:r>
              <w:rPr>
                <w:rFonts w:ascii="Calibri" w:hAnsi="Calibri"/>
                <w:sz w:val="22"/>
              </w:rPr>
              <w:t>Positive read-through for CTVA’s new products and biologicals strategy. CTVA’s new products are targeting ~$2B in revenue in 2026; FMC’s data confirms differentiated products are outperforming legacy.</w:t>
            </w:r>
          </w:p>
        </w:tc>
        <w:tc>
          <w:tcPr>
            <w:tcW w:type="dxa" w:w="2160"/>
          </w:tcPr>
          <w:p>
            <w:r>
              <w:rPr>
                <w:rFonts w:ascii="Calibri" w:hAnsi="Calibri"/>
                <w:b/>
                <w:color w:val="30A46C"/>
                <w:sz w:val="22"/>
              </w:rPr>
              <w:t>Positive</w:t>
            </w:r>
          </w:p>
        </w:tc>
      </w:tr>
      <w:tr>
        <w:tc>
          <w:tcPr>
            <w:tcW w:type="dxa" w:w="2160"/>
          </w:tcPr>
          <w:p>
            <w:r>
              <w:rPr>
                <w:rFonts w:ascii="Calibri" w:hAnsi="Calibri"/>
                <w:sz w:val="22"/>
              </w:rPr>
              <w:t>Rimisoxafen Licensing Deal with CTVA</w:t>
            </w:r>
          </w:p>
        </w:tc>
        <w:tc>
          <w:tcPr>
            <w:tcW w:type="dxa" w:w="2160"/>
          </w:tcPr>
          <w:p>
            <w:r>
              <w:rPr>
                <w:rFonts w:ascii="Calibri" w:hAnsi="Calibri"/>
                <w:sz w:val="22"/>
              </w:rPr>
              <w:t>FMC confirmed closing of the rimisoxafen licensing agreement with Corteva for a $200M upfront payment in Q2 2026. First registration anticipated in 2028.</w:t>
            </w:r>
          </w:p>
        </w:tc>
        <w:tc>
          <w:tcPr>
            <w:tcW w:type="dxa" w:w="2160"/>
          </w:tcPr>
          <w:p>
            <w:r>
              <w:rPr>
                <w:rFonts w:ascii="Calibri" w:hAnsi="Calibri"/>
                <w:sz w:val="22"/>
              </w:rPr>
              <w:t>Direct positive for CTVA’s long-term CP pipeline. The $200M payment is a Q2 cash outflow for CTVA but secures a novel dual-mode-of-action herbicide for corn/soy in the Americas.</w:t>
            </w:r>
          </w:p>
        </w:tc>
        <w:tc>
          <w:tcPr>
            <w:tcW w:type="dxa" w:w="2160"/>
          </w:tcPr>
          <w:p>
            <w:r>
              <w:rPr>
                <w:rFonts w:ascii="Calibri" w:hAnsi="Calibri"/>
                <w:b/>
                <w:color w:val="30A46C"/>
                <w:sz w:val="22"/>
              </w:rPr>
              <w:t>Positive (LT)</w:t>
            </w:r>
          </w:p>
        </w:tc>
      </w:tr>
      <w:tr>
        <w:tc>
          <w:tcPr>
            <w:tcW w:type="dxa" w:w="2160"/>
          </w:tcPr>
          <w:p>
            <w:r>
              <w:rPr>
                <w:rFonts w:ascii="Calibri" w:hAnsi="Calibri"/>
                <w:sz w:val="22"/>
              </w:rPr>
              <w:t>Q4 2026 / H2 Outlook</w:t>
            </w:r>
          </w:p>
        </w:tc>
        <w:tc>
          <w:tcPr>
            <w:tcW w:type="dxa" w:w="2160"/>
          </w:tcPr>
          <w:p>
            <w:r>
              <w:rPr>
                <w:rFonts w:ascii="Calibri" w:hAnsi="Calibri"/>
                <w:sz w:val="22"/>
              </w:rPr>
              <w:t>FMC expects return to YoY growth in Q4 2026, driven by increased direct sales to growers in Brazil, new AIs, and North America distributor orders shifting from Q3 to Q4. Q3 volumes expected lower as distributors shift orders.</w:t>
            </w:r>
          </w:p>
        </w:tc>
        <w:tc>
          <w:tcPr>
            <w:tcW w:type="dxa" w:w="2160"/>
          </w:tcPr>
          <w:p>
            <w:r>
              <w:rPr>
                <w:rFonts w:ascii="Calibri" w:hAnsi="Calibri"/>
                <w:sz w:val="22"/>
              </w:rPr>
              <w:t>Mixed: Q3 CP volumes may be softer than expected (distributor destocking), but Q4 recovery driven by Brazil direct sales is consistent with CTVA’s H2 LatAm volume acceleration thesis.</w:t>
            </w:r>
          </w:p>
        </w:tc>
        <w:tc>
          <w:tcPr>
            <w:tcW w:type="dxa" w:w="2160"/>
          </w:tcPr>
          <w:p>
            <w:r>
              <w:rPr>
                <w:rFonts w:ascii="Calibri" w:hAnsi="Calibri"/>
                <w:b/>
                <w:color w:val="002FA7"/>
                <w:sz w:val="22"/>
              </w:rPr>
              <w:t>Mixed</w:t>
            </w:r>
          </w:p>
        </w:tc>
      </w:tr>
    </w:tbl>
    <w:p>
      <w:pPr>
        <w:pStyle w:val="Heading3"/>
      </w:pPr>
      <w:r>
        <w:rPr>
          <w:rFonts w:ascii="Calibri" w:hAnsi="Calibri"/>
          <w:b/>
          <w:color w:val="3B4259"/>
          <w:sz w:val="24"/>
        </w:rPr>
        <w:t>8B. FMC Corporation (FMC) — Wolfe Research Materials of the Future Conference (June 17, 2026)</w:t>
      </w:r>
    </w:p>
    <w:p>
      <w:r>
        <w:rPr>
          <w:rFonts w:ascii="Calibri" w:hAnsi="Calibri"/>
          <w:b/>
          <w:color w:val="525866"/>
          <w:sz w:val="22"/>
        </w:rPr>
        <w:t xml:space="preserve">Read-Through Type: Direct | Overall Signal: </w:t>
      </w:r>
      <w:r>
        <w:rPr>
          <w:rFonts w:ascii="Calibri" w:hAnsi="Calibri"/>
          <w:b/>
          <w:color w:val="002FA7"/>
          <w:sz w:val="22"/>
        </w:rPr>
        <w:t>MIXED-TO-POSITIVE</w:t>
      </w:r>
    </w:p>
    <w:p>
      <w:r>
        <w:rPr>
          <w:rFonts w:ascii="Calibri" w:hAnsi="Calibri"/>
          <w:color w:val="525866"/>
          <w:sz w:val="22"/>
        </w:rPr>
        <w:t>This commentary was made after FMC’s last earnings (Q1 2026) and is forward-looking for CTVA’s current reporting quarter (Q2 2026) and H2 2026. It predates FMC’s Q2 results and should be read in context of the subsequent guidance cut.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FMC Commentary (June 17, 2026)</w:t>
            </w:r>
          </w:p>
        </w:tc>
        <w:tc>
          <w:tcPr>
            <w:tcW w:type="dxa" w:w="2160"/>
            <w:shd w:val="clear" w:color="auto" w:fill="3B4259"/>
          </w:tcPr>
          <w:p>
            <w:r>
              <w:rPr>
                <w:rFonts w:ascii="Calibri" w:hAnsi="Calibri"/>
                <w:b/>
                <w:color w:val="FFFFFF"/>
                <w:sz w:val="22"/>
              </w:rPr>
              <w:t>CTVA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Q2 2026 Outlook (at time of conference)</w:t>
            </w:r>
          </w:p>
        </w:tc>
        <w:tc>
          <w:tcPr>
            <w:tcW w:type="dxa" w:w="2160"/>
          </w:tcPr>
          <w:p>
            <w:r>
              <w:rPr>
                <w:rFonts w:ascii="Calibri" w:hAnsi="Calibri"/>
                <w:sz w:val="22"/>
              </w:rPr>
              <w:t>‘Second quarter looks good right now.’ FMC confident in delivering Q2 numbers. No information at that time that would cause reconsideration of full-year target.</w:t>
            </w:r>
          </w:p>
        </w:tc>
        <w:tc>
          <w:tcPr>
            <w:tcW w:type="dxa" w:w="2160"/>
          </w:tcPr>
          <w:p>
            <w:r>
              <w:rPr>
                <w:rFonts w:ascii="Calibri" w:hAnsi="Calibri"/>
                <w:sz w:val="22"/>
              </w:rPr>
              <w:t>At the time of the conference, FMC’s Q2 confidence was a positive read-through. However, FMC subsequently cut guidance on July 29, suggesting conditions deteriorated in June/July.</w:t>
            </w:r>
          </w:p>
        </w:tc>
        <w:tc>
          <w:tcPr>
            <w:tcW w:type="dxa" w:w="2160"/>
          </w:tcPr>
          <w:p>
            <w:r>
              <w:rPr>
                <w:rFonts w:ascii="Calibri" w:hAnsi="Calibri"/>
                <w:b/>
                <w:color w:val="002FA7"/>
                <w:sz w:val="22"/>
              </w:rPr>
              <w:t>Mixed</w:t>
            </w:r>
          </w:p>
        </w:tc>
      </w:tr>
      <w:tr>
        <w:tc>
          <w:tcPr>
            <w:tcW w:type="dxa" w:w="2160"/>
          </w:tcPr>
          <w:p>
            <w:r>
              <w:rPr>
                <w:rFonts w:ascii="Calibri" w:hAnsi="Calibri"/>
                <w:sz w:val="22"/>
              </w:rPr>
              <w:t>Latin America / Brazil H2 Order Book</w:t>
            </w:r>
          </w:p>
        </w:tc>
        <w:tc>
          <w:tcPr>
            <w:tcW w:type="dxa" w:w="2160"/>
          </w:tcPr>
          <w:p>
            <w:r>
              <w:rPr>
                <w:rFonts w:ascii="Calibri" w:hAnsi="Calibri"/>
                <w:sz w:val="22"/>
              </w:rPr>
              <w:t>‘Much healthier situation around Brazil and Latin America this year than last year.’ By Q2 earnings call, FMC expected to have ‘more than half of the orders in hand’ for H2 — ‘more than double what we had last year at the same period’ and at the ‘upper end of the historical range.’</w:t>
            </w:r>
          </w:p>
        </w:tc>
        <w:tc>
          <w:tcPr>
            <w:tcW w:type="dxa" w:w="2160"/>
          </w:tcPr>
          <w:p>
            <w:r>
              <w:rPr>
                <w:rFonts w:ascii="Calibri" w:hAnsi="Calibri"/>
                <w:sz w:val="22"/>
              </w:rPr>
              <w:t>Positive read-through for CTVA’s H2 LatAm CP volume thesis. Strong order books in Brazil support CTVA’s expectation of CP volume acceleration in H2, particularly biologicals and spinosyns.</w:t>
            </w:r>
          </w:p>
        </w:tc>
        <w:tc>
          <w:tcPr>
            <w:tcW w:type="dxa" w:w="2160"/>
          </w:tcPr>
          <w:p>
            <w:r>
              <w:rPr>
                <w:rFonts w:ascii="Calibri" w:hAnsi="Calibri"/>
                <w:b/>
                <w:color w:val="30A46C"/>
                <w:sz w:val="22"/>
              </w:rPr>
              <w:t>Positive</w:t>
            </w:r>
          </w:p>
        </w:tc>
      </w:tr>
      <w:tr>
        <w:tc>
          <w:tcPr>
            <w:tcW w:type="dxa" w:w="2160"/>
          </w:tcPr>
          <w:p>
            <w:r>
              <w:rPr>
                <w:rFonts w:ascii="Calibri" w:hAnsi="Calibri"/>
                <w:sz w:val="22"/>
              </w:rPr>
              <w:t>Pricing Stabilization in LatAm</w:t>
            </w:r>
          </w:p>
        </w:tc>
        <w:tc>
          <w:tcPr>
            <w:tcW w:type="dxa" w:w="2160"/>
          </w:tcPr>
          <w:p>
            <w:r>
              <w:rPr>
                <w:rFonts w:ascii="Calibri" w:hAnsi="Calibri"/>
                <w:sz w:val="22"/>
              </w:rPr>
              <w:t>‘Indications that there is a stabilization of pricing in Latin America’ for non-selective herbicides (glyphosate, 240). Leadership in Brazil ‘believe H2 could see price increase.’ However, CEO maintained ‘very prudent’ stance as pressure continues on more technical product lines.</w:t>
            </w:r>
          </w:p>
        </w:tc>
        <w:tc>
          <w:tcPr>
            <w:tcW w:type="dxa" w:w="2160"/>
          </w:tcPr>
          <w:p>
            <w:r>
              <w:rPr>
                <w:rFonts w:ascii="Calibri" w:hAnsi="Calibri"/>
                <w:sz w:val="22"/>
              </w:rPr>
              <w:t>Mixed positive for CTVA. Pricing stabilization in generics could reduce competitive pressure on CTVA’s differentiated CP products. However, CTVA’s own CP pricing guidance remains low single-digit negative for FY2026.</w:t>
            </w:r>
          </w:p>
        </w:tc>
        <w:tc>
          <w:tcPr>
            <w:tcW w:type="dxa" w:w="2160"/>
          </w:tcPr>
          <w:p>
            <w:r>
              <w:rPr>
                <w:rFonts w:ascii="Calibri" w:hAnsi="Calibri"/>
                <w:b/>
                <w:color w:val="002FA7"/>
                <w:sz w:val="22"/>
              </w:rPr>
              <w:t>Mixed</w:t>
            </w:r>
          </w:p>
        </w:tc>
      </w:tr>
      <w:tr>
        <w:tc>
          <w:tcPr>
            <w:tcW w:type="dxa" w:w="2160"/>
          </w:tcPr>
          <w:p>
            <w:r>
              <w:rPr>
                <w:rFonts w:ascii="Calibri" w:hAnsi="Calibri"/>
                <w:sz w:val="22"/>
              </w:rPr>
              <w:t>Rimisoxafen Deal with CTVA</w:t>
            </w:r>
          </w:p>
        </w:tc>
        <w:tc>
          <w:tcPr>
            <w:tcW w:type="dxa" w:w="2160"/>
          </w:tcPr>
          <w:p>
            <w:r>
              <w:rPr>
                <w:rFonts w:ascii="Calibri" w:hAnsi="Calibri"/>
                <w:sz w:val="22"/>
              </w:rPr>
              <w:t>FMC CEO described rimisoxafen as ‘a really unique herbicide, new to the world’ with ‘2 new modes of action,’ particularly useful for resistant weeds like Palmer amaranth. ‘A big one for corn and soy in the Americas.’ Peak sales potential at the higher end of $400–$600M range. First registration in 2028.</w:t>
            </w:r>
          </w:p>
        </w:tc>
        <w:tc>
          <w:tcPr>
            <w:tcW w:type="dxa" w:w="2160"/>
          </w:tcPr>
          <w:p>
            <w:r>
              <w:rPr>
                <w:rFonts w:ascii="Calibri" w:hAnsi="Calibri"/>
                <w:sz w:val="22"/>
              </w:rPr>
              <w:t>Direct positive for CTVA’s long-term CP pipeline. Secures a novel, high-value molecule for CTVA’s most important crops and geographies.</w:t>
            </w:r>
          </w:p>
        </w:tc>
        <w:tc>
          <w:tcPr>
            <w:tcW w:type="dxa" w:w="2160"/>
          </w:tcPr>
          <w:p>
            <w:r>
              <w:rPr>
                <w:rFonts w:ascii="Calibri" w:hAnsi="Calibri"/>
                <w:b/>
                <w:color w:val="30A46C"/>
                <w:sz w:val="22"/>
              </w:rPr>
              <w:t>Positive (LT)</w:t>
            </w:r>
          </w:p>
        </w:tc>
      </w:tr>
      <w:tr>
        <w:tc>
          <w:tcPr>
            <w:tcW w:type="dxa" w:w="2160"/>
          </w:tcPr>
          <w:p>
            <w:r>
              <w:rPr>
                <w:rFonts w:ascii="Calibri" w:hAnsi="Calibri"/>
                <w:sz w:val="22"/>
              </w:rPr>
              <w:t>CP Industry Input Cost Inflation</w:t>
            </w:r>
          </w:p>
        </w:tc>
        <w:tc>
          <w:tcPr>
            <w:tcW w:type="dxa" w:w="2160"/>
          </w:tcPr>
          <w:p>
            <w:r>
              <w:rPr>
                <w:rFonts w:ascii="Calibri" w:hAnsi="Calibri"/>
                <w:sz w:val="22"/>
              </w:rPr>
              <w:t>‘The Iran war clearly has created soaring fertilizer costs. This is not good for farmers.’ FMC anticipated ‘more inflationary effects’ on CP chemical inputs: ‘There is going to be inflation. It is going to come through.’ Inventory turns mean it takes time to show up in P&amp;L.</w:t>
            </w:r>
          </w:p>
        </w:tc>
        <w:tc>
          <w:tcPr>
            <w:tcW w:type="dxa" w:w="2160"/>
          </w:tcPr>
          <w:p>
            <w:r>
              <w:rPr>
                <w:rFonts w:ascii="Calibri" w:hAnsi="Calibri"/>
                <w:sz w:val="22"/>
              </w:rPr>
              <w:t>Negative read-through for CTVA’s H2 CP input costs. Consistent with CTVA’s own $40M oil headwind guidance, but FMC’s language suggests the magnitude could be larger than initially anticipated.</w:t>
            </w:r>
          </w:p>
        </w:tc>
        <w:tc>
          <w:tcPr>
            <w:tcW w:type="dxa" w:w="2160"/>
          </w:tcPr>
          <w:p>
            <w:r>
              <w:rPr>
                <w:rFonts w:ascii="Calibri" w:hAnsi="Calibri"/>
                <w:b/>
                <w:color w:val="E5484D"/>
                <w:sz w:val="22"/>
              </w:rPr>
              <w:t>Negative</w:t>
            </w:r>
          </w:p>
        </w:tc>
      </w:tr>
      <w:tr>
        <w:tc>
          <w:tcPr>
            <w:tcW w:type="dxa" w:w="2160"/>
          </w:tcPr>
          <w:p>
            <w:r>
              <w:rPr>
                <w:rFonts w:ascii="Calibri" w:hAnsi="Calibri"/>
                <w:sz w:val="22"/>
              </w:rPr>
              <w:t>Fluindapyr Partnership with CTVA</w:t>
            </w:r>
          </w:p>
        </w:tc>
        <w:tc>
          <w:tcPr>
            <w:tcW w:type="dxa" w:w="2160"/>
          </w:tcPr>
          <w:p>
            <w:r>
              <w:rPr>
                <w:rFonts w:ascii="Calibri" w:hAnsi="Calibri"/>
                <w:sz w:val="22"/>
              </w:rPr>
              <w:t>FMC confirmed ‘very substantial year-on-year growth’ for fluindapyr. The CTVA partnership (FMC provides formulated product to CTVA for direct marketing to customers) is described as a ‘win-win’ driving ‘very, very good growth.’</w:t>
            </w:r>
          </w:p>
        </w:tc>
        <w:tc>
          <w:tcPr>
            <w:tcW w:type="dxa" w:w="2160"/>
          </w:tcPr>
          <w:p>
            <w:r>
              <w:rPr>
                <w:rFonts w:ascii="Calibri" w:hAnsi="Calibri"/>
                <w:sz w:val="22"/>
              </w:rPr>
              <w:t>Direct positive for CTVA’s new CP products. Fluindapyr is contributing to CTVA’s new product revenue growth target of ~$2B in 2026.</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8C. FMC Corporation (FMC) — Wells Fargo Industrials &amp; Materials Conference (June 9, 2026)</w:t>
      </w:r>
    </w:p>
    <w:p>
      <w:r>
        <w:rPr>
          <w:rFonts w:ascii="Calibri" w:hAnsi="Calibri"/>
          <w:b/>
          <w:color w:val="525866"/>
          <w:sz w:val="22"/>
        </w:rPr>
        <w:t xml:space="preserve">Read-Through Type: Direct | Overall Signal: </w:t>
      </w:r>
      <w:r>
        <w:rPr>
          <w:rFonts w:ascii="Calibri" w:hAnsi="Calibri"/>
          <w:b/>
          <w:color w:val="002FA7"/>
          <w:sz w:val="22"/>
        </w:rPr>
        <w:t>MIXED</w:t>
      </w:r>
    </w:p>
    <w:p>
      <w:r>
        <w:rPr>
          <w:rFonts w:ascii="Calibri" w:hAnsi="Calibri"/>
          <w:color w:val="525866"/>
          <w:sz w:val="22"/>
        </w:rPr>
        <w:t>Forward-looking commentary made after FMC’s Q1 2026 earnings, covering the CP market outlook for Q2 2026 and H2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FMC Commentary (June 9, 2026)</w:t>
            </w:r>
          </w:p>
        </w:tc>
        <w:tc>
          <w:tcPr>
            <w:tcW w:type="dxa" w:w="2160"/>
            <w:shd w:val="clear" w:color="auto" w:fill="3B4259"/>
          </w:tcPr>
          <w:p>
            <w:r>
              <w:rPr>
                <w:rFonts w:ascii="Calibri" w:hAnsi="Calibri"/>
                <w:b/>
                <w:color w:val="FFFFFF"/>
                <w:sz w:val="22"/>
              </w:rPr>
              <w:t>CTVA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New Active Ingredients Demand</w:t>
            </w:r>
          </w:p>
        </w:tc>
        <w:tc>
          <w:tcPr>
            <w:tcW w:type="dxa" w:w="2160"/>
          </w:tcPr>
          <w:p>
            <w:r>
              <w:rPr>
                <w:rFonts w:ascii="Calibri" w:hAnsi="Calibri"/>
                <w:sz w:val="22"/>
              </w:rPr>
              <w:t>FMC’s two commercial new AIs (Isoflex, fluindapyr) expected to represent $300–$400M in sales in 2026, building to $2B peak by mid-2030. ‘Pretty good trajectory here to see really strong accelerating growth from new active ingredients.’</w:t>
            </w:r>
          </w:p>
        </w:tc>
        <w:tc>
          <w:tcPr>
            <w:tcW w:type="dxa" w:w="2160"/>
          </w:tcPr>
          <w:p>
            <w:r>
              <w:rPr>
                <w:rFonts w:ascii="Calibri" w:hAnsi="Calibri"/>
                <w:sz w:val="22"/>
              </w:rPr>
              <w:t>Positive for CTVA’s new CP product strategy. Confirms strong underlying demand for differentiated, innovative CP solutions, consistent with CTVA’s ~$2B new product revenue target for 2026.</w:t>
            </w:r>
          </w:p>
        </w:tc>
        <w:tc>
          <w:tcPr>
            <w:tcW w:type="dxa" w:w="2160"/>
          </w:tcPr>
          <w:p>
            <w:r>
              <w:rPr>
                <w:rFonts w:ascii="Calibri" w:hAnsi="Calibri"/>
                <w:b/>
                <w:color w:val="30A46C"/>
                <w:sz w:val="22"/>
              </w:rPr>
              <w:t>Positive</w:t>
            </w:r>
          </w:p>
        </w:tc>
      </w:tr>
      <w:tr>
        <w:tc>
          <w:tcPr>
            <w:tcW w:type="dxa" w:w="2160"/>
          </w:tcPr>
          <w:p>
            <w:r>
              <w:rPr>
                <w:rFonts w:ascii="Calibri" w:hAnsi="Calibri"/>
                <w:sz w:val="22"/>
              </w:rPr>
              <w:t>Brazil H2 Order Book</w:t>
            </w:r>
          </w:p>
        </w:tc>
        <w:tc>
          <w:tcPr>
            <w:tcW w:type="dxa" w:w="2160"/>
          </w:tcPr>
          <w:p>
            <w:r>
              <w:rPr>
                <w:rFonts w:ascii="Calibri" w:hAnsi="Calibri"/>
                <w:sz w:val="22"/>
              </w:rPr>
              <w:t>‘More than 50% of the orders that we need to hit our plan for the year for direct customers, we already have in hand.’ Orders to be fulfilled in Q3 and Q4, ‘continuing to climb.’ Helps ‘increase confidence in the ability to deliver heavily out of Brazil in the second half.’</w:t>
            </w:r>
          </w:p>
        </w:tc>
        <w:tc>
          <w:tcPr>
            <w:tcW w:type="dxa" w:w="2160"/>
          </w:tcPr>
          <w:p>
            <w:r>
              <w:rPr>
                <w:rFonts w:ascii="Calibri" w:hAnsi="Calibri"/>
                <w:sz w:val="22"/>
              </w:rPr>
              <w:t>Positive read-through for CTVA’s H2 LatAm CP volume acceleration thesis. Strong Brazil direct order books support CTVA’s expectation of biologicals and spinosyn volume growth in H2.</w:t>
            </w:r>
          </w:p>
        </w:tc>
        <w:tc>
          <w:tcPr>
            <w:tcW w:type="dxa" w:w="2160"/>
          </w:tcPr>
          <w:p>
            <w:r>
              <w:rPr>
                <w:rFonts w:ascii="Calibri" w:hAnsi="Calibri"/>
                <w:b/>
                <w:color w:val="30A46C"/>
                <w:sz w:val="22"/>
              </w:rPr>
              <w:t>Positive</w:t>
            </w:r>
          </w:p>
        </w:tc>
      </w:tr>
      <w:tr>
        <w:tc>
          <w:tcPr>
            <w:tcW w:type="dxa" w:w="2160"/>
          </w:tcPr>
          <w:p>
            <w:r>
              <w:rPr>
                <w:rFonts w:ascii="Calibri" w:hAnsi="Calibri"/>
                <w:sz w:val="22"/>
              </w:rPr>
              <w:t>CP Industry Sentiment &amp; Pricing</w:t>
            </w:r>
          </w:p>
        </w:tc>
        <w:tc>
          <w:tcPr>
            <w:tcW w:type="dxa" w:w="2160"/>
          </w:tcPr>
          <w:p>
            <w:r>
              <w:rPr>
                <w:rFonts w:ascii="Calibri" w:hAnsi="Calibri"/>
                <w:sz w:val="22"/>
              </w:rPr>
              <w:t>‘Sentiment around the industry is very negative right now because of pricing trends and generic pressures.’ However, FMC expects ‘price movement’ as inflation flows through, potentially turning the tide from continued price erosion to modest price recovery.</w:t>
            </w:r>
          </w:p>
        </w:tc>
        <w:tc>
          <w:tcPr>
            <w:tcW w:type="dxa" w:w="2160"/>
          </w:tcPr>
          <w:p>
            <w:r>
              <w:rPr>
                <w:rFonts w:ascii="Calibri" w:hAnsi="Calibri"/>
                <w:sz w:val="22"/>
              </w:rPr>
              <w:t>Mixed: Negative near-term sentiment is a headwind for CTVA’s CP pricing, but the potential for a pricing inflection in late 2026/2027 is consistent with CTVA management’s own commentary.</w:t>
            </w:r>
          </w:p>
        </w:tc>
        <w:tc>
          <w:tcPr>
            <w:tcW w:type="dxa" w:w="2160"/>
          </w:tcPr>
          <w:p>
            <w:r>
              <w:rPr>
                <w:rFonts w:ascii="Calibri" w:hAnsi="Calibri"/>
                <w:b/>
                <w:color w:val="002FA7"/>
                <w:sz w:val="22"/>
              </w:rPr>
              <w:t>Mixed</w:t>
            </w:r>
          </w:p>
        </w:tc>
      </w:tr>
      <w:tr>
        <w:tc>
          <w:tcPr>
            <w:tcW w:type="dxa" w:w="2160"/>
          </w:tcPr>
          <w:p>
            <w:r>
              <w:rPr>
                <w:rFonts w:ascii="Calibri" w:hAnsi="Calibri"/>
                <w:sz w:val="22"/>
              </w:rPr>
              <w:t>Rynaxypyr / Diamide Pricing</w:t>
            </w:r>
          </w:p>
        </w:tc>
        <w:tc>
          <w:tcPr>
            <w:tcW w:type="dxa" w:w="2160"/>
          </w:tcPr>
          <w:p>
            <w:r>
              <w:rPr>
                <w:rFonts w:ascii="Calibri" w:hAnsi="Calibri"/>
                <w:sz w:val="22"/>
              </w:rPr>
              <w:t>Rynaxypyr business ‘stabilizing’ but down in 2026 due to reduced partner sales. FMC has achieved cost position comparable to quality generics. Strategy: ‘flattish profit dollars’ with growing sales from higher volume despite lower pricing.</w:t>
            </w:r>
          </w:p>
        </w:tc>
        <w:tc>
          <w:tcPr>
            <w:tcW w:type="dxa" w:w="2160"/>
          </w:tcPr>
          <w:p>
            <w:r>
              <w:rPr>
                <w:rFonts w:ascii="Calibri" w:hAnsi="Calibri"/>
                <w:sz w:val="22"/>
              </w:rPr>
              <w:t>Indirect negative for CTVA’s CP pricing environment. Diamide pricing pressure is a market-wide dynamic that affects the competitive backdrop for CTVA’s insecticide portfolio.</w:t>
            </w:r>
          </w:p>
        </w:tc>
        <w:tc>
          <w:tcPr>
            <w:tcW w:type="dxa" w:w="2160"/>
          </w:tcPr>
          <w:p>
            <w:r>
              <w:rPr>
                <w:rFonts w:ascii="Calibri" w:hAnsi="Calibri"/>
                <w:b/>
                <w:color w:val="E5484D"/>
                <w:sz w:val="22"/>
              </w:rPr>
              <w:t>Negative</w:t>
            </w:r>
          </w:p>
        </w:tc>
      </w:tr>
      <w:tr>
        <w:tc>
          <w:tcPr>
            <w:tcW w:type="dxa" w:w="2160"/>
          </w:tcPr>
          <w:p>
            <w:r>
              <w:rPr>
                <w:rFonts w:ascii="Calibri" w:hAnsi="Calibri"/>
                <w:sz w:val="22"/>
              </w:rPr>
              <w:t>2027 Outlook</w:t>
            </w:r>
          </w:p>
        </w:tc>
        <w:tc>
          <w:tcPr>
            <w:tcW w:type="dxa" w:w="2160"/>
          </w:tcPr>
          <w:p>
            <w:r>
              <w:rPr>
                <w:rFonts w:ascii="Calibri" w:hAnsi="Calibri"/>
                <w:sz w:val="22"/>
              </w:rPr>
              <w:t>FMC ‘feeling better about’ potential for double-digit growth in 2027, driven by new product momentum.</w:t>
            </w:r>
          </w:p>
        </w:tc>
        <w:tc>
          <w:tcPr>
            <w:tcW w:type="dxa" w:w="2160"/>
          </w:tcPr>
          <w:p>
            <w:r>
              <w:rPr>
                <w:rFonts w:ascii="Calibri" w:hAnsi="Calibri"/>
                <w:sz w:val="22"/>
              </w:rPr>
              <w:t>Positive for CTVA’s medium-term CP recovery thesis. Consistent with CTVA management’s view that pricing recovery could begin in late 2026 and accelerate into 2027.</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8D. ScottsMiracle-Gro (SMG) — Q3 FY2026 Earnings Call (July 29, 2026)</w:t>
      </w:r>
    </w:p>
    <w:p>
      <w:r>
        <w:rPr>
          <w:rFonts w:ascii="Calibri" w:hAnsi="Calibri"/>
          <w:b/>
          <w:color w:val="525866"/>
          <w:sz w:val="22"/>
        </w:rPr>
        <w:t xml:space="preserve">Read-Through Type: Indirect | Overall Signal: </w:t>
      </w:r>
      <w:r>
        <w:rPr>
          <w:rFonts w:ascii="Calibri" w:hAnsi="Calibri"/>
          <w:b/>
          <w:color w:val="002FA7"/>
          <w:sz w:val="22"/>
        </w:rPr>
        <w:t>MIXED</w:t>
      </w:r>
    </w:p>
    <w:p>
      <w:r>
        <w:rPr>
          <w:rFonts w:ascii="Calibri" w:hAnsi="Calibri"/>
          <w:color w:val="525866"/>
          <w:sz w:val="22"/>
        </w:rPr>
        <w:t>SMG operates in consumer lawn &amp; garden (not agricultural CP), but provides read-through on consumer demand resilience, channel inventory dynamics, input cost inflation from the Iran conflict, and pricing actions. SMG’s fiscal Q3 covers the April–June 2026 calendar period, directly overlapping with CTVA’s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SMG Commentary (July 29, 2026)</w:t>
            </w:r>
          </w:p>
        </w:tc>
        <w:tc>
          <w:tcPr>
            <w:tcW w:type="dxa" w:w="2160"/>
            <w:shd w:val="clear" w:color="auto" w:fill="3B4259"/>
          </w:tcPr>
          <w:p>
            <w:r>
              <w:rPr>
                <w:rFonts w:ascii="Calibri" w:hAnsi="Calibri"/>
                <w:b/>
                <w:color w:val="FFFFFF"/>
                <w:sz w:val="22"/>
              </w:rPr>
              <w:t>CTVA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Consumer / End-Market Demand</w:t>
            </w:r>
          </w:p>
        </w:tc>
        <w:tc>
          <w:tcPr>
            <w:tcW w:type="dxa" w:w="2160"/>
          </w:tcPr>
          <w:p>
            <w:r>
              <w:rPr>
                <w:rFonts w:ascii="Calibri" w:hAnsi="Calibri"/>
                <w:sz w:val="22"/>
              </w:rPr>
              <w:t>‘Consumer resilience remains an underlying story despite broader market volatility.’ Lawn and garden category continues to grow. 74% of consumers consider lawn/garden care a necessity; 82% say the same for pest control. Total POS dollars +1.4%, units +2.3%.</w:t>
            </w:r>
          </w:p>
        </w:tc>
        <w:tc>
          <w:tcPr>
            <w:tcW w:type="dxa" w:w="2160"/>
          </w:tcPr>
          <w:p>
            <w:r>
              <w:rPr>
                <w:rFonts w:ascii="Calibri" w:hAnsi="Calibri"/>
                <w:sz w:val="22"/>
              </w:rPr>
              <w:t>Indirect positive: Resilient consumer demand for pest control and garden products suggests underlying demand for crop protection solutions remains healthy. Pest control demand is a broad proxy for insecticide/fungicide demand.</w:t>
            </w:r>
          </w:p>
        </w:tc>
        <w:tc>
          <w:tcPr>
            <w:tcW w:type="dxa" w:w="2160"/>
          </w:tcPr>
          <w:p>
            <w:r>
              <w:rPr>
                <w:rFonts w:ascii="Calibri" w:hAnsi="Calibri"/>
                <w:b/>
                <w:color w:val="30A46C"/>
                <w:sz w:val="22"/>
              </w:rPr>
              <w:t>Positive</w:t>
            </w:r>
          </w:p>
        </w:tc>
      </w:tr>
      <w:tr>
        <w:tc>
          <w:tcPr>
            <w:tcW w:type="dxa" w:w="2160"/>
          </w:tcPr>
          <w:p>
            <w:r>
              <w:rPr>
                <w:rFonts w:ascii="Calibri" w:hAnsi="Calibri"/>
                <w:sz w:val="22"/>
              </w:rPr>
              <w:t>Channel Inventory</w:t>
            </w:r>
          </w:p>
        </w:tc>
        <w:tc>
          <w:tcPr>
            <w:tcW w:type="dxa" w:w="2160"/>
          </w:tcPr>
          <w:p>
            <w:r>
              <w:rPr>
                <w:rFonts w:ascii="Calibri" w:hAnsi="Calibri"/>
                <w:sz w:val="22"/>
              </w:rPr>
              <w:t>‘Retailer inventories were slightly elevated over prior year by high single digit percentages.’ Expects ‘a slowdown in Q4 purchasing activity’ as a result, pushing U.S. consumer sales growth to the lower end of guidance.</w:t>
            </w:r>
          </w:p>
        </w:tc>
        <w:tc>
          <w:tcPr>
            <w:tcW w:type="dxa" w:w="2160"/>
          </w:tcPr>
          <w:p>
            <w:r>
              <w:rPr>
                <w:rFonts w:ascii="Calibri" w:hAnsi="Calibri"/>
                <w:sz w:val="22"/>
              </w:rPr>
              <w:t>Indirect negative: Elevated channel inventory leading to purchasing slowdowns is a pattern that has historically affected agricultural CP channels as well. Raises risk of similar dynamics in CTVA’s North America CP channel.</w:t>
            </w:r>
          </w:p>
        </w:tc>
        <w:tc>
          <w:tcPr>
            <w:tcW w:type="dxa" w:w="2160"/>
          </w:tcPr>
          <w:p>
            <w:r>
              <w:rPr>
                <w:rFonts w:ascii="Calibri" w:hAnsi="Calibri"/>
                <w:b/>
                <w:color w:val="E5484D"/>
                <w:sz w:val="22"/>
              </w:rPr>
              <w:t>Negative</w:t>
            </w:r>
          </w:p>
        </w:tc>
      </w:tr>
      <w:tr>
        <w:tc>
          <w:tcPr>
            <w:tcW w:type="dxa" w:w="2160"/>
          </w:tcPr>
          <w:p>
            <w:r>
              <w:rPr>
                <w:rFonts w:ascii="Calibri" w:hAnsi="Calibri"/>
                <w:sz w:val="22"/>
              </w:rPr>
              <w:t>Input Cost Inflation (Iran Conflict)</w:t>
            </w:r>
          </w:p>
        </w:tc>
        <w:tc>
          <w:tcPr>
            <w:tcW w:type="dxa" w:w="2160"/>
          </w:tcPr>
          <w:p>
            <w:r>
              <w:rPr>
                <w:rFonts w:ascii="Calibri" w:hAnsi="Calibri"/>
                <w:sz w:val="22"/>
              </w:rPr>
              <w:t>SMG expects $15M increase in commodity costs above initial plan for FY2026, mostly in Q3, due to ‘commodity headwinds from the Iran war.’ Diesel and freight distribution costs are up. For FY2027, costs incurred in Q3 2026 can be used ‘as a backdrop for next year.’</w:t>
            </w:r>
          </w:p>
        </w:tc>
        <w:tc>
          <w:tcPr>
            <w:tcW w:type="dxa" w:w="2160"/>
          </w:tcPr>
          <w:p>
            <w:r>
              <w:rPr>
                <w:rFonts w:ascii="Calibri" w:hAnsi="Calibri"/>
                <w:sz w:val="22"/>
              </w:rPr>
              <w:t>Negative read-through for CTVA’s H2 CP input costs. Confirms that Iran conflict-driven commodity inflation is flowing through to chemical/agricultural input costs, consistent with CTVA’s $40M oil headwind guidance. SMG’s FY2027 framing suggests the headwind may persist.</w:t>
            </w:r>
          </w:p>
        </w:tc>
        <w:tc>
          <w:tcPr>
            <w:tcW w:type="dxa" w:w="2160"/>
          </w:tcPr>
          <w:p>
            <w:r>
              <w:rPr>
                <w:rFonts w:ascii="Calibri" w:hAnsi="Calibri"/>
                <w:b/>
                <w:color w:val="E5484D"/>
                <w:sz w:val="22"/>
              </w:rPr>
              <w:t>Negative</w:t>
            </w:r>
          </w:p>
        </w:tc>
      </w:tr>
      <w:tr>
        <w:tc>
          <w:tcPr>
            <w:tcW w:type="dxa" w:w="2160"/>
          </w:tcPr>
          <w:p>
            <w:r>
              <w:rPr>
                <w:rFonts w:ascii="Calibri" w:hAnsi="Calibri"/>
                <w:sz w:val="22"/>
              </w:rPr>
              <w:t>Pricing Actions</w:t>
            </w:r>
          </w:p>
        </w:tc>
        <w:tc>
          <w:tcPr>
            <w:tcW w:type="dxa" w:w="2160"/>
          </w:tcPr>
          <w:p>
            <w:r>
              <w:rPr>
                <w:rFonts w:ascii="Calibri" w:hAnsi="Calibri"/>
                <w:sz w:val="22"/>
              </w:rPr>
              <w:t>SMG is ‘under discussion with retail partners’ regarding pricing actions to manage Iran war commodity impacts. Plans to ‘take pricing actions’ in FY2027 combined with cost-out initiatives to drive gross margin expansion. Retailers are ‘eyes wide open on the current environment.’</w:t>
            </w:r>
          </w:p>
        </w:tc>
        <w:tc>
          <w:tcPr>
            <w:tcW w:type="dxa" w:w="2160"/>
          </w:tcPr>
          <w:p>
            <w:r>
              <w:rPr>
                <w:rFonts w:ascii="Calibri" w:hAnsi="Calibri"/>
                <w:sz w:val="22"/>
              </w:rPr>
              <w:t>Indirect positive for CTVA’s medium-term CP pricing recovery thesis. If consumer-facing companies can push through price increases in response to input cost inflation, agricultural CP companies may follow. Consistent with CTVA/FMC’s view of a potential pricing inflection in late 2026/2027.</w:t>
            </w:r>
          </w:p>
        </w:tc>
        <w:tc>
          <w:tcPr>
            <w:tcW w:type="dxa" w:w="2160"/>
          </w:tcPr>
          <w:p>
            <w:r>
              <w:rPr>
                <w:rFonts w:ascii="Calibri" w:hAnsi="Calibri"/>
                <w:b/>
                <w:color w:val="30A46C"/>
                <w:sz w:val="22"/>
              </w:rPr>
              <w:t>Positive (MT)</w:t>
            </w:r>
          </w:p>
        </w:tc>
      </w:tr>
      <w:tr>
        <w:tc>
          <w:tcPr>
            <w:tcW w:type="dxa" w:w="2160"/>
          </w:tcPr>
          <w:p>
            <w:r>
              <w:rPr>
                <w:rFonts w:ascii="Calibri" w:hAnsi="Calibri"/>
                <w:sz w:val="22"/>
              </w:rPr>
              <w:t>Weather Impact on Demand</w:t>
            </w:r>
          </w:p>
        </w:tc>
        <w:tc>
          <w:tcPr>
            <w:tcW w:type="dxa" w:w="2160"/>
          </w:tcPr>
          <w:p>
            <w:r>
              <w:rPr>
                <w:rFonts w:ascii="Calibri" w:hAnsi="Calibri"/>
                <w:sz w:val="22"/>
              </w:rPr>
              <w:t>SMG experienced ‘POS softness in early May due to unfavorable weather in some regions,’ but consumer sell-through strengthened during Memorial Day weekend and carried over into June.</w:t>
            </w:r>
          </w:p>
        </w:tc>
        <w:tc>
          <w:tcPr>
            <w:tcW w:type="dxa" w:w="2160"/>
          </w:tcPr>
          <w:p>
            <w:r>
              <w:rPr>
                <w:rFonts w:ascii="Calibri" w:hAnsi="Calibri"/>
                <w:sz w:val="22"/>
              </w:rPr>
              <w:t>Indirect mixed: Weather-related demand softness in May is consistent with CTVA’s Q1 call noting some timing shifts. The recovery in June is a mild positive for CTVA’s Q2 CP volumes.</w:t>
            </w:r>
          </w:p>
        </w:tc>
        <w:tc>
          <w:tcPr>
            <w:tcW w:type="dxa" w:w="2160"/>
          </w:tcPr>
          <w:p>
            <w:r>
              <w:rPr>
                <w:rFonts w:ascii="Calibri" w:hAnsi="Calibri"/>
                <w:b/>
                <w:color w:val="002FA7"/>
                <w:sz w:val="22"/>
              </w:rPr>
              <w:t>Mixed</w:t>
            </w:r>
          </w:p>
        </w:tc>
      </w:tr>
    </w:tbl>
    <w:p>
      <w:pPr>
        <w:pStyle w:val="Heading3"/>
      </w:pPr>
      <w:r>
        <w:rPr>
          <w:rFonts w:ascii="Calibri" w:hAnsi="Calibri"/>
          <w:b/>
          <w:color w:val="3B4259"/>
          <w:sz w:val="24"/>
        </w:rPr>
        <w:t>8E. Dow Inc. (DOW) — Q2 2026 Earnings (July 23, 2026)</w:t>
      </w:r>
    </w:p>
    <w:p>
      <w:r>
        <w:rPr>
          <w:rFonts w:ascii="Calibri" w:hAnsi="Calibri"/>
          <w:b/>
          <w:color w:val="525866"/>
          <w:sz w:val="22"/>
        </w:rPr>
        <w:t xml:space="preserve">Read-Through Type: Indirect | Overall Signal: </w:t>
      </w:r>
      <w:r>
        <w:rPr>
          <w:rFonts w:ascii="Calibri" w:hAnsi="Calibri"/>
          <w:b/>
          <w:color w:val="002FA7"/>
          <w:sz w:val="22"/>
        </w:rPr>
        <w:t>MIXED-TO-POSITIVE</w:t>
      </w:r>
    </w:p>
    <w:p>
      <w:r>
        <w:rPr>
          <w:rFonts w:ascii="Calibri" w:hAnsi="Calibri"/>
          <w:color w:val="525866"/>
          <w:sz w:val="22"/>
        </w:rPr>
        <w:t>DOW is a specialty chemicals company with significant exposure to global chemical supply chains and the Iran conflict’s impact on petrochemical pricing. DOW’s Q2 results provide read-through on the broader chemicals market environment relevant to CTVA’s CP input costs and pricing dynamics.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DOW Commentary (July 23, 2026)</w:t>
            </w:r>
          </w:p>
        </w:tc>
        <w:tc>
          <w:tcPr>
            <w:tcW w:type="dxa" w:w="2160"/>
            <w:shd w:val="clear" w:color="auto" w:fill="3B4259"/>
          </w:tcPr>
          <w:p>
            <w:r>
              <w:rPr>
                <w:rFonts w:ascii="Calibri" w:hAnsi="Calibri"/>
                <w:b/>
                <w:color w:val="FFFFFF"/>
                <w:sz w:val="22"/>
              </w:rPr>
              <w:t>CTVA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Iran Conflict / Supply Shock</w:t>
            </w:r>
          </w:p>
        </w:tc>
        <w:tc>
          <w:tcPr>
            <w:tcW w:type="dxa" w:w="2160"/>
          </w:tcPr>
          <w:p>
            <w:r>
              <w:rPr>
                <w:rFonts w:ascii="Calibri" w:hAnsi="Calibri"/>
                <w:sz w:val="22"/>
              </w:rPr>
              <w:t>DOW beat Q2 estimates (EPS $1.44 vs. $1.31 consensus) helped by ‘higher prices and volumes resulting from Middle East conflict-driven supply shock.’ Packaging &amp; Specialty Plastics segment net sales rose 27% YoY driven by higher polyethylene prices in all regions.</w:t>
            </w:r>
          </w:p>
        </w:tc>
        <w:tc>
          <w:tcPr>
            <w:tcW w:type="dxa" w:w="2160"/>
          </w:tcPr>
          <w:p>
            <w:r>
              <w:rPr>
                <w:rFonts w:ascii="Calibri" w:hAnsi="Calibri"/>
                <w:sz w:val="22"/>
              </w:rPr>
              <w:t>Mixed for CTVA: The Iran conflict-driven supply shock that benefited DOW’s chemical pricing is the same dynamic that is raising CTVA’s CP active ingredient input costs. Higher energy/petrochemical prices are a headwind for CTVA’s CP cost structure.</w:t>
            </w:r>
          </w:p>
        </w:tc>
        <w:tc>
          <w:tcPr>
            <w:tcW w:type="dxa" w:w="2160"/>
          </w:tcPr>
          <w:p>
            <w:r>
              <w:rPr>
                <w:rFonts w:ascii="Calibri" w:hAnsi="Calibri"/>
                <w:b/>
                <w:color w:val="002FA7"/>
                <w:sz w:val="22"/>
              </w:rPr>
              <w:t>Mixed</w:t>
            </w:r>
          </w:p>
        </w:tc>
      </w:tr>
      <w:tr>
        <w:tc>
          <w:tcPr>
            <w:tcW w:type="dxa" w:w="2160"/>
          </w:tcPr>
          <w:p>
            <w:r>
              <w:rPr>
                <w:rFonts w:ascii="Calibri" w:hAnsi="Calibri"/>
                <w:sz w:val="22"/>
              </w:rPr>
              <w:t>Global Demand Environment</w:t>
            </w:r>
          </w:p>
        </w:tc>
        <w:tc>
          <w:tcPr>
            <w:tcW w:type="dxa" w:w="2160"/>
          </w:tcPr>
          <w:p>
            <w:r>
              <w:rPr>
                <w:rFonts w:ascii="Calibri" w:hAnsi="Calibri"/>
                <w:sz w:val="22"/>
              </w:rPr>
              <w:t>DOW noted ‘resilient global packaging demand, robust growth in data center demand, and resilient U.S. consumer spending.’ However, ‘China’s consumer demand remains soft and uneven, and the U.S. housing market remains weak.’</w:t>
            </w:r>
          </w:p>
        </w:tc>
        <w:tc>
          <w:tcPr>
            <w:tcW w:type="dxa" w:w="2160"/>
          </w:tcPr>
          <w:p>
            <w:r>
              <w:rPr>
                <w:rFonts w:ascii="Calibri" w:hAnsi="Calibri"/>
                <w:sz w:val="22"/>
              </w:rPr>
              <w:t>Indirect mixed: Resilient U.S. consumer spending is broadly positive for farm economics. Soft China demand is a mild negative for global commodity prices and farmer margins.</w:t>
            </w:r>
          </w:p>
        </w:tc>
        <w:tc>
          <w:tcPr>
            <w:tcW w:type="dxa" w:w="2160"/>
          </w:tcPr>
          <w:p>
            <w:r>
              <w:rPr>
                <w:rFonts w:ascii="Calibri" w:hAnsi="Calibri"/>
                <w:b/>
                <w:color w:val="002FA7"/>
                <w:sz w:val="22"/>
              </w:rPr>
              <w:t>Mixed</w:t>
            </w:r>
          </w:p>
        </w:tc>
      </w:tr>
      <w:tr>
        <w:tc>
          <w:tcPr>
            <w:tcW w:type="dxa" w:w="2160"/>
          </w:tcPr>
          <w:p>
            <w:r>
              <w:rPr>
                <w:rFonts w:ascii="Calibri" w:hAnsi="Calibri"/>
                <w:sz w:val="22"/>
              </w:rPr>
              <w:t>Cost Savings / Restructuring</w:t>
            </w:r>
          </w:p>
        </w:tc>
        <w:tc>
          <w:tcPr>
            <w:tcW w:type="dxa" w:w="2160"/>
          </w:tcPr>
          <w:p>
            <w:r>
              <w:rPr>
                <w:rFonts w:ascii="Calibri" w:hAnsi="Calibri"/>
                <w:sz w:val="22"/>
              </w:rPr>
              <w:t>DOW increased its cost savings target from restructuring actions by ~$200M. Q3 EBITDA guidance of $1.75B fell slightly short of Street expectations of $1.86B.</w:t>
            </w:r>
          </w:p>
        </w:tc>
        <w:tc>
          <w:tcPr>
            <w:tcW w:type="dxa" w:w="2160"/>
          </w:tcPr>
          <w:p>
            <w:r>
              <w:rPr>
                <w:rFonts w:ascii="Calibri" w:hAnsi="Calibri"/>
                <w:sz w:val="22"/>
              </w:rPr>
              <w:t>Indirect positive for CTVA’s productivity narrative. Confirms that cost-out programs are delivering results across the chemicals sector, consistent with CTVA’s own $300M+ productivity target.</w:t>
            </w:r>
          </w:p>
        </w:tc>
        <w:tc>
          <w:tcPr>
            <w:tcW w:type="dxa" w:w="2160"/>
          </w:tcPr>
          <w:p>
            <w:r>
              <w:rPr>
                <w:rFonts w:ascii="Calibri" w:hAnsi="Calibri"/>
                <w:b/>
                <w:color w:val="30A46C"/>
                <w:sz w:val="22"/>
              </w:rPr>
              <w:t>Positive</w:t>
            </w:r>
          </w:p>
        </w:tc>
      </w:tr>
    </w:tbl>
    <w:p>
      <w:pPr>
        <w:pStyle w:val="Heading3"/>
      </w:pPr>
      <w:r>
        <w:rPr>
          <w:rFonts w:ascii="Calibri" w:hAnsi="Calibri"/>
          <w:b/>
          <w:color w:val="3B4259"/>
          <w:sz w:val="24"/>
        </w:rPr>
        <w:t>8F. Nutrien (NTR) — Post-Q1 Developments (June–July 2026)</w:t>
      </w:r>
    </w:p>
    <w:p>
      <w:r>
        <w:rPr>
          <w:rFonts w:ascii="Calibri" w:hAnsi="Calibri"/>
          <w:b/>
          <w:color w:val="525866"/>
          <w:sz w:val="22"/>
        </w:rPr>
        <w:t xml:space="preserve">Read-Through Type: Indirect | Overall Signal: </w:t>
      </w:r>
      <w:r>
        <w:rPr>
          <w:rFonts w:ascii="Calibri" w:hAnsi="Calibri"/>
          <w:b/>
          <w:color w:val="002FA7"/>
          <w:sz w:val="22"/>
        </w:rPr>
        <w:t>MIXED</w:t>
      </w:r>
    </w:p>
    <w:p>
      <w:r>
        <w:rPr>
          <w:rFonts w:ascii="Calibri" w:hAnsi="Calibri"/>
          <w:color w:val="525866"/>
          <w:sz w:val="22"/>
        </w:rPr>
        <w:t>Nutrien is the world’s largest crop nutrient company and a key indicator of global farmer purchasing activity and crop input demand. NTR announced Q2 2026 results dates (July 16) and filed a Code of Conduct (July 13) but has not yet reported Q2 results. The key read-through is from NTR’s market positioning and the broader fertilizer demand environment.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Topic</w:t>
            </w:r>
          </w:p>
        </w:tc>
        <w:tc>
          <w:tcPr>
            <w:tcW w:type="dxa" w:w="2160"/>
            <w:shd w:val="clear" w:color="auto" w:fill="3B4259"/>
          </w:tcPr>
          <w:p>
            <w:r>
              <w:rPr>
                <w:rFonts w:ascii="Calibri" w:hAnsi="Calibri"/>
                <w:b/>
                <w:color w:val="FFFFFF"/>
                <w:sz w:val="22"/>
              </w:rPr>
              <w:t>NTR / Fertilizer Market Commentary</w:t>
            </w:r>
          </w:p>
        </w:tc>
        <w:tc>
          <w:tcPr>
            <w:tcW w:type="dxa" w:w="2160"/>
            <w:shd w:val="clear" w:color="auto" w:fill="3B4259"/>
          </w:tcPr>
          <w:p>
            <w:r>
              <w:rPr>
                <w:rFonts w:ascii="Calibri" w:hAnsi="Calibri"/>
                <w:b/>
                <w:color w:val="FFFFFF"/>
                <w:sz w:val="22"/>
              </w:rPr>
              <w:t>CTVA Read-Through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CF Industries 20% Dividend Increase (July 8)</w:t>
            </w:r>
          </w:p>
        </w:tc>
        <w:tc>
          <w:tcPr>
            <w:tcW w:type="dxa" w:w="2160"/>
          </w:tcPr>
          <w:p>
            <w:r>
              <w:rPr>
                <w:rFonts w:ascii="Calibri" w:hAnsi="Calibri"/>
                <w:sz w:val="22"/>
              </w:rPr>
              <w:t>CF Industries (nitrogen fertilizer) raised its quarterly dividend by 20%, signaling strong confidence in the fertilizer demand and pricing environment.</w:t>
            </w:r>
          </w:p>
        </w:tc>
        <w:tc>
          <w:tcPr>
            <w:tcW w:type="dxa" w:w="2160"/>
          </w:tcPr>
          <w:p>
            <w:r>
              <w:rPr>
                <w:rFonts w:ascii="Calibri" w:hAnsi="Calibri"/>
                <w:sz w:val="22"/>
              </w:rPr>
              <w:t>Indirect positive: Strong fertilizer demand signals healthy farmer activity and crop acreage, which supports seed and CP demand. Consistent with CTVA’s view of stable-to-growing crop acreage.</w:t>
            </w:r>
          </w:p>
        </w:tc>
        <w:tc>
          <w:tcPr>
            <w:tcW w:type="dxa" w:w="2160"/>
          </w:tcPr>
          <w:p>
            <w:r>
              <w:rPr>
                <w:rFonts w:ascii="Calibri" w:hAnsi="Calibri"/>
                <w:b/>
                <w:color w:val="30A46C"/>
                <w:sz w:val="22"/>
              </w:rPr>
              <w:t>Positive</w:t>
            </w:r>
          </w:p>
        </w:tc>
      </w:tr>
      <w:tr>
        <w:tc>
          <w:tcPr>
            <w:tcW w:type="dxa" w:w="2160"/>
          </w:tcPr>
          <w:p>
            <w:r>
              <w:rPr>
                <w:rFonts w:ascii="Calibri" w:hAnsi="Calibri"/>
                <w:sz w:val="22"/>
              </w:rPr>
              <w:t>Iran Conflict / Fertilizer Cost Inflation</w:t>
            </w:r>
          </w:p>
        </w:tc>
        <w:tc>
          <w:tcPr>
            <w:tcW w:type="dxa" w:w="2160"/>
          </w:tcPr>
          <w:p>
            <w:r>
              <w:rPr>
                <w:rFonts w:ascii="Calibri" w:hAnsi="Calibri"/>
                <w:sz w:val="22"/>
              </w:rPr>
              <w:t>FMC (June 9) noted: ‘The Iran war clearly has created soaring fertilizer costs. This is not good for farmers.’ Fertilizer price inflation ‘puts pressure on farmer economics and doesn’t help in terms of where we are with the crop protection business.’</w:t>
            </w:r>
          </w:p>
        </w:tc>
        <w:tc>
          <w:tcPr>
            <w:tcW w:type="dxa" w:w="2160"/>
          </w:tcPr>
          <w:p>
            <w:r>
              <w:rPr>
                <w:rFonts w:ascii="Calibri" w:hAnsi="Calibri"/>
                <w:sz w:val="22"/>
              </w:rPr>
              <w:t>Negative read-through for CTVA’s CP demand. Higher fertilizer costs squeeze farmer margins, reducing discretionary spending on CP inputs. Consistent with CTVA’s own commentary on farmer caution and value-driven purchasing.</w:t>
            </w:r>
          </w:p>
        </w:tc>
        <w:tc>
          <w:tcPr>
            <w:tcW w:type="dxa" w:w="2160"/>
          </w:tcPr>
          <w:p>
            <w:r>
              <w:rPr>
                <w:rFonts w:ascii="Calibri" w:hAnsi="Calibri"/>
                <w:b/>
                <w:color w:val="E5484D"/>
                <w:sz w:val="22"/>
              </w:rPr>
              <w:t>Negative</w:t>
            </w:r>
          </w:p>
        </w:tc>
      </w:tr>
    </w:tbl>
    <w:p>
      <w:pPr>
        <w:pStyle w:val="Heading3"/>
      </w:pPr>
      <w:r>
        <w:rPr>
          <w:rFonts w:ascii="Calibri" w:hAnsi="Calibri"/>
          <w:b/>
          <w:color w:val="3B4259"/>
          <w:sz w:val="24"/>
        </w:rPr>
        <w:t>8G. Peer Read-Through Summary Scorecard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 / Event</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Type</w:t>
            </w:r>
          </w:p>
        </w:tc>
        <w:tc>
          <w:tcPr>
            <w:tcW w:type="dxa" w:w="1440"/>
            <w:shd w:val="clear" w:color="auto" w:fill="3B4259"/>
          </w:tcPr>
          <w:p>
            <w:r>
              <w:rPr>
                <w:rFonts w:ascii="Calibri" w:hAnsi="Calibri"/>
                <w:b/>
                <w:color w:val="FFFFFF"/>
                <w:sz w:val="22"/>
              </w:rPr>
              <w:t>Topic</w:t>
            </w:r>
          </w:p>
        </w:tc>
        <w:tc>
          <w:tcPr>
            <w:tcW w:type="dxa" w:w="1440"/>
            <w:shd w:val="clear" w:color="auto" w:fill="3B4259"/>
          </w:tcPr>
          <w:p>
            <w:r>
              <w:rPr>
                <w:rFonts w:ascii="Calibri" w:hAnsi="Calibri"/>
                <w:b/>
                <w:color w:val="FFFFFF"/>
                <w:sz w:val="22"/>
              </w:rPr>
              <w:t>CTVA Segment</w:t>
            </w:r>
          </w:p>
        </w:tc>
        <w:tc>
          <w:tcPr>
            <w:tcW w:type="dxa" w:w="1440"/>
            <w:shd w:val="clear" w:color="auto" w:fill="3B4259"/>
          </w:tcPr>
          <w:p>
            <w:r>
              <w:rPr>
                <w:rFonts w:ascii="Calibri" w:hAnsi="Calibri"/>
                <w:b/>
                <w:color w:val="FFFFFF"/>
                <w:sz w:val="22"/>
              </w:rPr>
              <w:t>Signal</w:t>
            </w:r>
          </w:p>
        </w:tc>
      </w:tr>
      <w:tr>
        <w:tc>
          <w:tcPr>
            <w:tcW w:type="dxa" w:w="1440"/>
          </w:tcPr>
          <w:p>
            <w:r>
              <w:rPr>
                <w:rFonts w:ascii="Calibri" w:hAnsi="Calibri"/>
                <w:sz w:val="22"/>
              </w:rPr>
              <w:t>FMC Q2 2026 Earnings</w:t>
            </w:r>
          </w:p>
        </w:tc>
        <w:tc>
          <w:tcPr>
            <w:tcW w:type="dxa" w:w="1440"/>
          </w:tcPr>
          <w:p>
            <w:r>
              <w:rPr>
                <w:rFonts w:ascii="Calibri" w:hAnsi="Calibri"/>
                <w:sz w:val="22"/>
              </w:rPr>
              <w:t>Jul 29</w:t>
            </w:r>
          </w:p>
        </w:tc>
        <w:tc>
          <w:tcPr>
            <w:tcW w:type="dxa" w:w="1440"/>
          </w:tcPr>
          <w:p>
            <w:r>
              <w:rPr>
                <w:rFonts w:ascii="Calibri" w:hAnsi="Calibri"/>
                <w:sz w:val="22"/>
              </w:rPr>
              <w:t>Direct</w:t>
            </w:r>
          </w:p>
        </w:tc>
        <w:tc>
          <w:tcPr>
            <w:tcW w:type="dxa" w:w="1440"/>
          </w:tcPr>
          <w:p>
            <w:r>
              <w:rPr>
                <w:rFonts w:ascii="Calibri" w:hAnsi="Calibri"/>
                <w:sz w:val="22"/>
              </w:rPr>
              <w:t>CP revenue -17% YoY; FY EBITDA guidance cut; LatAm deterioration</w:t>
            </w:r>
          </w:p>
        </w:tc>
        <w:tc>
          <w:tcPr>
            <w:tcW w:type="dxa" w:w="1440"/>
          </w:tcPr>
          <w:p>
            <w:r>
              <w:rPr>
                <w:rFonts w:ascii="Calibri" w:hAnsi="Calibri"/>
                <w:sz w:val="22"/>
              </w:rPr>
              <w:t>Crop Protection</w:t>
            </w:r>
          </w:p>
        </w:tc>
        <w:tc>
          <w:tcPr>
            <w:tcW w:type="dxa" w:w="1440"/>
          </w:tcPr>
          <w:p>
            <w:r>
              <w:rPr>
                <w:rFonts w:ascii="Calibri" w:hAnsi="Calibri"/>
                <w:b/>
                <w:color w:val="E5484D"/>
                <w:sz w:val="22"/>
              </w:rPr>
              <w:t>NEGATIVE</w:t>
            </w:r>
          </w:p>
        </w:tc>
      </w:tr>
      <w:tr>
        <w:tc>
          <w:tcPr>
            <w:tcW w:type="dxa" w:w="1440"/>
          </w:tcPr>
          <w:p>
            <w:r>
              <w:rPr>
                <w:rFonts w:ascii="Calibri" w:hAnsi="Calibri"/>
                <w:sz w:val="22"/>
              </w:rPr>
              <w:t>FMC Q2 2026 Earnings</w:t>
            </w:r>
          </w:p>
        </w:tc>
        <w:tc>
          <w:tcPr>
            <w:tcW w:type="dxa" w:w="1440"/>
          </w:tcPr>
          <w:p>
            <w:r>
              <w:rPr>
                <w:rFonts w:ascii="Calibri" w:hAnsi="Calibri"/>
                <w:sz w:val="22"/>
              </w:rPr>
              <w:t>Jul 29</w:t>
            </w:r>
          </w:p>
        </w:tc>
        <w:tc>
          <w:tcPr>
            <w:tcW w:type="dxa" w:w="1440"/>
          </w:tcPr>
          <w:p>
            <w:r>
              <w:rPr>
                <w:rFonts w:ascii="Calibri" w:hAnsi="Calibri"/>
                <w:sz w:val="22"/>
              </w:rPr>
              <w:t>Direct</w:t>
            </w:r>
          </w:p>
        </w:tc>
        <w:tc>
          <w:tcPr>
            <w:tcW w:type="dxa" w:w="1440"/>
          </w:tcPr>
          <w:p>
            <w:r>
              <w:rPr>
                <w:rFonts w:ascii="Calibri" w:hAnsi="Calibri"/>
                <w:sz w:val="22"/>
              </w:rPr>
              <w:t>Rimisoxafen deal with CTVA closed ($200M); growth portfolio mid-SD growth</w:t>
            </w:r>
          </w:p>
        </w:tc>
        <w:tc>
          <w:tcPr>
            <w:tcW w:type="dxa" w:w="1440"/>
          </w:tcPr>
          <w:p>
            <w:r>
              <w:rPr>
                <w:rFonts w:ascii="Calibri" w:hAnsi="Calibri"/>
                <w:sz w:val="22"/>
              </w:rPr>
              <w:t>Crop Protection (LT)</w:t>
            </w:r>
          </w:p>
        </w:tc>
        <w:tc>
          <w:tcPr>
            <w:tcW w:type="dxa" w:w="1440"/>
          </w:tcPr>
          <w:p>
            <w:r>
              <w:rPr>
                <w:rFonts w:ascii="Calibri" w:hAnsi="Calibri"/>
                <w:b/>
                <w:color w:val="30A46C"/>
                <w:sz w:val="22"/>
              </w:rPr>
              <w:t>POSITIVE</w:t>
            </w:r>
          </w:p>
        </w:tc>
      </w:tr>
      <w:tr>
        <w:tc>
          <w:tcPr>
            <w:tcW w:type="dxa" w:w="1440"/>
          </w:tcPr>
          <w:p>
            <w:r>
              <w:rPr>
                <w:rFonts w:ascii="Calibri" w:hAnsi="Calibri"/>
                <w:sz w:val="22"/>
              </w:rPr>
              <w:t>SMG Q3 FY2026 Earnings</w:t>
            </w:r>
          </w:p>
        </w:tc>
        <w:tc>
          <w:tcPr>
            <w:tcW w:type="dxa" w:w="1440"/>
          </w:tcPr>
          <w:p>
            <w:r>
              <w:rPr>
                <w:rFonts w:ascii="Calibri" w:hAnsi="Calibri"/>
                <w:sz w:val="22"/>
              </w:rPr>
              <w:t>Jul 29</w:t>
            </w:r>
          </w:p>
        </w:tc>
        <w:tc>
          <w:tcPr>
            <w:tcW w:type="dxa" w:w="1440"/>
          </w:tcPr>
          <w:p>
            <w:r>
              <w:rPr>
                <w:rFonts w:ascii="Calibri" w:hAnsi="Calibri"/>
                <w:sz w:val="22"/>
              </w:rPr>
              <w:t>Indirect</w:t>
            </w:r>
          </w:p>
        </w:tc>
        <w:tc>
          <w:tcPr>
            <w:tcW w:type="dxa" w:w="1440"/>
          </w:tcPr>
          <w:p>
            <w:r>
              <w:rPr>
                <w:rFonts w:ascii="Calibri" w:hAnsi="Calibri"/>
                <w:sz w:val="22"/>
              </w:rPr>
              <w:t>Elevated channel inventory; purchasing slowdown expected in Q4</w:t>
            </w:r>
          </w:p>
        </w:tc>
        <w:tc>
          <w:tcPr>
            <w:tcW w:type="dxa" w:w="1440"/>
          </w:tcPr>
          <w:p>
            <w:r>
              <w:rPr>
                <w:rFonts w:ascii="Calibri" w:hAnsi="Calibri"/>
                <w:sz w:val="22"/>
              </w:rPr>
              <w:t>Crop Protection</w:t>
            </w:r>
          </w:p>
        </w:tc>
        <w:tc>
          <w:tcPr>
            <w:tcW w:type="dxa" w:w="1440"/>
          </w:tcPr>
          <w:p>
            <w:r>
              <w:rPr>
                <w:rFonts w:ascii="Calibri" w:hAnsi="Calibri"/>
                <w:b/>
                <w:color w:val="E5484D"/>
                <w:sz w:val="22"/>
              </w:rPr>
              <w:t>NEGATIVE</w:t>
            </w:r>
          </w:p>
        </w:tc>
      </w:tr>
      <w:tr>
        <w:tc>
          <w:tcPr>
            <w:tcW w:type="dxa" w:w="1440"/>
          </w:tcPr>
          <w:p>
            <w:r>
              <w:rPr>
                <w:rFonts w:ascii="Calibri" w:hAnsi="Calibri"/>
                <w:sz w:val="22"/>
              </w:rPr>
              <w:t>SMG Q3 FY2026 Earnings</w:t>
            </w:r>
          </w:p>
        </w:tc>
        <w:tc>
          <w:tcPr>
            <w:tcW w:type="dxa" w:w="1440"/>
          </w:tcPr>
          <w:p>
            <w:r>
              <w:rPr>
                <w:rFonts w:ascii="Calibri" w:hAnsi="Calibri"/>
                <w:sz w:val="22"/>
              </w:rPr>
              <w:t>Jul 29</w:t>
            </w:r>
          </w:p>
        </w:tc>
        <w:tc>
          <w:tcPr>
            <w:tcW w:type="dxa" w:w="1440"/>
          </w:tcPr>
          <w:p>
            <w:r>
              <w:rPr>
                <w:rFonts w:ascii="Calibri" w:hAnsi="Calibri"/>
                <w:sz w:val="22"/>
              </w:rPr>
              <w:t>Indirect</w:t>
            </w:r>
          </w:p>
        </w:tc>
        <w:tc>
          <w:tcPr>
            <w:tcW w:type="dxa" w:w="1440"/>
          </w:tcPr>
          <w:p>
            <w:r>
              <w:rPr>
                <w:rFonts w:ascii="Calibri" w:hAnsi="Calibri"/>
                <w:sz w:val="22"/>
              </w:rPr>
              <w:t>Consumer resilience; pest control demand strong; pricing actions planned</w:t>
            </w:r>
          </w:p>
        </w:tc>
        <w:tc>
          <w:tcPr>
            <w:tcW w:type="dxa" w:w="1440"/>
          </w:tcPr>
          <w:p>
            <w:r>
              <w:rPr>
                <w:rFonts w:ascii="Calibri" w:hAnsi="Calibri"/>
                <w:sz w:val="22"/>
              </w:rPr>
              <w:t>Crop Protection (MT)</w:t>
            </w:r>
          </w:p>
        </w:tc>
        <w:tc>
          <w:tcPr>
            <w:tcW w:type="dxa" w:w="1440"/>
          </w:tcPr>
          <w:p>
            <w:r>
              <w:rPr>
                <w:rFonts w:ascii="Calibri" w:hAnsi="Calibri"/>
                <w:b/>
                <w:color w:val="30A46C"/>
                <w:sz w:val="22"/>
              </w:rPr>
              <w:t>POSITIVE</w:t>
            </w:r>
          </w:p>
        </w:tc>
      </w:tr>
      <w:tr>
        <w:tc>
          <w:tcPr>
            <w:tcW w:type="dxa" w:w="1440"/>
          </w:tcPr>
          <w:p>
            <w:r>
              <w:rPr>
                <w:rFonts w:ascii="Calibri" w:hAnsi="Calibri"/>
                <w:sz w:val="22"/>
              </w:rPr>
              <w:t>SMG Q3 FY2026 Earnings</w:t>
            </w:r>
          </w:p>
        </w:tc>
        <w:tc>
          <w:tcPr>
            <w:tcW w:type="dxa" w:w="1440"/>
          </w:tcPr>
          <w:p>
            <w:r>
              <w:rPr>
                <w:rFonts w:ascii="Calibri" w:hAnsi="Calibri"/>
                <w:sz w:val="22"/>
              </w:rPr>
              <w:t>Jul 29</w:t>
            </w:r>
          </w:p>
        </w:tc>
        <w:tc>
          <w:tcPr>
            <w:tcW w:type="dxa" w:w="1440"/>
          </w:tcPr>
          <w:p>
            <w:r>
              <w:rPr>
                <w:rFonts w:ascii="Calibri" w:hAnsi="Calibri"/>
                <w:sz w:val="22"/>
              </w:rPr>
              <w:t>Indirect</w:t>
            </w:r>
          </w:p>
        </w:tc>
        <w:tc>
          <w:tcPr>
            <w:tcW w:type="dxa" w:w="1440"/>
          </w:tcPr>
          <w:p>
            <w:r>
              <w:rPr>
                <w:rFonts w:ascii="Calibri" w:hAnsi="Calibri"/>
                <w:sz w:val="22"/>
              </w:rPr>
              <w:t>Iran conflict commodity inflation ($15M headwind); diesel/freight costs up</w:t>
            </w:r>
          </w:p>
        </w:tc>
        <w:tc>
          <w:tcPr>
            <w:tcW w:type="dxa" w:w="1440"/>
          </w:tcPr>
          <w:p>
            <w:r>
              <w:rPr>
                <w:rFonts w:ascii="Calibri" w:hAnsi="Calibri"/>
                <w:sz w:val="22"/>
              </w:rPr>
              <w:t>Crop Protection (Costs)</w:t>
            </w:r>
          </w:p>
        </w:tc>
        <w:tc>
          <w:tcPr>
            <w:tcW w:type="dxa" w:w="1440"/>
          </w:tcPr>
          <w:p>
            <w:r>
              <w:rPr>
                <w:rFonts w:ascii="Calibri" w:hAnsi="Calibri"/>
                <w:b/>
                <w:color w:val="E5484D"/>
                <w:sz w:val="22"/>
              </w:rPr>
              <w:t>NEGATIVE</w:t>
            </w:r>
          </w:p>
        </w:tc>
      </w:tr>
      <w:tr>
        <w:tc>
          <w:tcPr>
            <w:tcW w:type="dxa" w:w="1440"/>
          </w:tcPr>
          <w:p>
            <w:r>
              <w:rPr>
                <w:rFonts w:ascii="Calibri" w:hAnsi="Calibri"/>
                <w:sz w:val="22"/>
              </w:rPr>
              <w:t>DOW Q2 2026 Earnings</w:t>
            </w:r>
          </w:p>
        </w:tc>
        <w:tc>
          <w:tcPr>
            <w:tcW w:type="dxa" w:w="1440"/>
          </w:tcPr>
          <w:p>
            <w:r>
              <w:rPr>
                <w:rFonts w:ascii="Calibri" w:hAnsi="Calibri"/>
                <w:sz w:val="22"/>
              </w:rPr>
              <w:t>Jul 23</w:t>
            </w:r>
          </w:p>
        </w:tc>
        <w:tc>
          <w:tcPr>
            <w:tcW w:type="dxa" w:w="1440"/>
          </w:tcPr>
          <w:p>
            <w:r>
              <w:rPr>
                <w:rFonts w:ascii="Calibri" w:hAnsi="Calibri"/>
                <w:sz w:val="22"/>
              </w:rPr>
              <w:t>Indirect</w:t>
            </w:r>
          </w:p>
        </w:tc>
        <w:tc>
          <w:tcPr>
            <w:tcW w:type="dxa" w:w="1440"/>
          </w:tcPr>
          <w:p>
            <w:r>
              <w:rPr>
                <w:rFonts w:ascii="Calibri" w:hAnsi="Calibri"/>
                <w:sz w:val="22"/>
              </w:rPr>
              <w:t>Iran supply shock driving chemical price inflation; resilient U.S. consumer</w:t>
            </w:r>
          </w:p>
        </w:tc>
        <w:tc>
          <w:tcPr>
            <w:tcW w:type="dxa" w:w="1440"/>
          </w:tcPr>
          <w:p>
            <w:r>
              <w:rPr>
                <w:rFonts w:ascii="Calibri" w:hAnsi="Calibri"/>
                <w:sz w:val="22"/>
              </w:rPr>
              <w:t>Crop Protection (Costs)</w:t>
            </w:r>
          </w:p>
        </w:tc>
        <w:tc>
          <w:tcPr>
            <w:tcW w:type="dxa" w:w="1440"/>
          </w:tcPr>
          <w:p>
            <w:r>
              <w:rPr>
                <w:rFonts w:ascii="Calibri" w:hAnsi="Calibri"/>
                <w:b/>
                <w:color w:val="002FA7"/>
                <w:sz w:val="22"/>
              </w:rPr>
              <w:t>MIXED</w:t>
            </w:r>
          </w:p>
        </w:tc>
      </w:tr>
      <w:tr>
        <w:tc>
          <w:tcPr>
            <w:tcW w:type="dxa" w:w="1440"/>
          </w:tcPr>
          <w:p>
            <w:r>
              <w:rPr>
                <w:rFonts w:ascii="Calibri" w:hAnsi="Calibri"/>
                <w:sz w:val="22"/>
              </w:rPr>
              <w:t>FMC Wolfe Conference</w:t>
            </w:r>
          </w:p>
        </w:tc>
        <w:tc>
          <w:tcPr>
            <w:tcW w:type="dxa" w:w="1440"/>
          </w:tcPr>
          <w:p>
            <w:r>
              <w:rPr>
                <w:rFonts w:ascii="Calibri" w:hAnsi="Calibri"/>
                <w:sz w:val="22"/>
              </w:rPr>
              <w:t>Jun 17</w:t>
            </w:r>
          </w:p>
        </w:tc>
        <w:tc>
          <w:tcPr>
            <w:tcW w:type="dxa" w:w="1440"/>
          </w:tcPr>
          <w:p>
            <w:r>
              <w:rPr>
                <w:rFonts w:ascii="Calibri" w:hAnsi="Calibri"/>
                <w:sz w:val="22"/>
              </w:rPr>
              <w:t>Direct</w:t>
            </w:r>
          </w:p>
        </w:tc>
        <w:tc>
          <w:tcPr>
            <w:tcW w:type="dxa" w:w="1440"/>
          </w:tcPr>
          <w:p>
            <w:r>
              <w:rPr>
                <w:rFonts w:ascii="Calibri" w:hAnsi="Calibri"/>
                <w:sz w:val="22"/>
              </w:rPr>
              <w:t>Brazil H2 order book strong; LatAm pricing stabilization signals; fluindapyr growth</w:t>
            </w:r>
          </w:p>
        </w:tc>
        <w:tc>
          <w:tcPr>
            <w:tcW w:type="dxa" w:w="1440"/>
          </w:tcPr>
          <w:p>
            <w:r>
              <w:rPr>
                <w:rFonts w:ascii="Calibri" w:hAnsi="Calibri"/>
                <w:sz w:val="22"/>
              </w:rPr>
              <w:t>Crop Protection</w:t>
            </w:r>
          </w:p>
        </w:tc>
        <w:tc>
          <w:tcPr>
            <w:tcW w:type="dxa" w:w="1440"/>
          </w:tcPr>
          <w:p>
            <w:r>
              <w:rPr>
                <w:rFonts w:ascii="Calibri" w:hAnsi="Calibri"/>
                <w:b/>
                <w:color w:val="002FA7"/>
                <w:sz w:val="22"/>
              </w:rPr>
              <w:t>MIXED-POS</w:t>
            </w:r>
          </w:p>
        </w:tc>
      </w:tr>
      <w:tr>
        <w:tc>
          <w:tcPr>
            <w:tcW w:type="dxa" w:w="1440"/>
          </w:tcPr>
          <w:p>
            <w:r>
              <w:rPr>
                <w:rFonts w:ascii="Calibri" w:hAnsi="Calibri"/>
                <w:sz w:val="22"/>
              </w:rPr>
              <w:t>FMC Wells Fargo Conference</w:t>
            </w:r>
          </w:p>
        </w:tc>
        <w:tc>
          <w:tcPr>
            <w:tcW w:type="dxa" w:w="1440"/>
          </w:tcPr>
          <w:p>
            <w:r>
              <w:rPr>
                <w:rFonts w:ascii="Calibri" w:hAnsi="Calibri"/>
                <w:sz w:val="22"/>
              </w:rPr>
              <w:t>Jun 9</w:t>
            </w:r>
          </w:p>
        </w:tc>
        <w:tc>
          <w:tcPr>
            <w:tcW w:type="dxa" w:w="1440"/>
          </w:tcPr>
          <w:p>
            <w:r>
              <w:rPr>
                <w:rFonts w:ascii="Calibri" w:hAnsi="Calibri"/>
                <w:sz w:val="22"/>
              </w:rPr>
              <w:t>Direct</w:t>
            </w:r>
          </w:p>
        </w:tc>
        <w:tc>
          <w:tcPr>
            <w:tcW w:type="dxa" w:w="1440"/>
          </w:tcPr>
          <w:p>
            <w:r>
              <w:rPr>
                <w:rFonts w:ascii="Calibri" w:hAnsi="Calibri"/>
                <w:sz w:val="22"/>
              </w:rPr>
              <w:t>New AI demand strong; Brazil order book building; industry sentiment negative</w:t>
            </w:r>
          </w:p>
        </w:tc>
        <w:tc>
          <w:tcPr>
            <w:tcW w:type="dxa" w:w="1440"/>
          </w:tcPr>
          <w:p>
            <w:r>
              <w:rPr>
                <w:rFonts w:ascii="Calibri" w:hAnsi="Calibri"/>
                <w:sz w:val="22"/>
              </w:rPr>
              <w:t>Crop Protection</w:t>
            </w:r>
          </w:p>
        </w:tc>
        <w:tc>
          <w:tcPr>
            <w:tcW w:type="dxa" w:w="1440"/>
          </w:tcPr>
          <w:p>
            <w:r>
              <w:rPr>
                <w:rFonts w:ascii="Calibri" w:hAnsi="Calibri"/>
                <w:b/>
                <w:color w:val="002FA7"/>
                <w:sz w:val="22"/>
              </w:rPr>
              <w:t>MIXED</w:t>
            </w:r>
          </w:p>
        </w:tc>
      </w:tr>
      <w:tr>
        <w:tc>
          <w:tcPr>
            <w:tcW w:type="dxa" w:w="1440"/>
          </w:tcPr>
          <w:p>
            <w:r>
              <w:rPr>
                <w:rFonts w:ascii="Calibri" w:hAnsi="Calibri"/>
                <w:sz w:val="22"/>
              </w:rPr>
              <w:t>CF Industries Dividend Raise</w:t>
            </w:r>
          </w:p>
        </w:tc>
        <w:tc>
          <w:tcPr>
            <w:tcW w:type="dxa" w:w="1440"/>
          </w:tcPr>
          <w:p>
            <w:r>
              <w:rPr>
                <w:rFonts w:ascii="Calibri" w:hAnsi="Calibri"/>
                <w:sz w:val="22"/>
              </w:rPr>
              <w:t>Jul 8</w:t>
            </w:r>
          </w:p>
        </w:tc>
        <w:tc>
          <w:tcPr>
            <w:tcW w:type="dxa" w:w="1440"/>
          </w:tcPr>
          <w:p>
            <w:r>
              <w:rPr>
                <w:rFonts w:ascii="Calibri" w:hAnsi="Calibri"/>
                <w:sz w:val="22"/>
              </w:rPr>
              <w:t>Indirect</w:t>
            </w:r>
          </w:p>
        </w:tc>
        <w:tc>
          <w:tcPr>
            <w:tcW w:type="dxa" w:w="1440"/>
          </w:tcPr>
          <w:p>
            <w:r>
              <w:rPr>
                <w:rFonts w:ascii="Calibri" w:hAnsi="Calibri"/>
                <w:sz w:val="22"/>
              </w:rPr>
              <w:t>Strong fertilizer demand signals healthy farmer activity and crop acreage</w:t>
            </w:r>
          </w:p>
        </w:tc>
        <w:tc>
          <w:tcPr>
            <w:tcW w:type="dxa" w:w="1440"/>
          </w:tcPr>
          <w:p>
            <w:r>
              <w:rPr>
                <w:rFonts w:ascii="Calibri" w:hAnsi="Calibri"/>
                <w:sz w:val="22"/>
              </w:rPr>
              <w:t>Seed &amp; CP Demand</w:t>
            </w:r>
          </w:p>
        </w:tc>
        <w:tc>
          <w:tcPr>
            <w:tcW w:type="dxa" w:w="1440"/>
          </w:tcPr>
          <w:p>
            <w:r>
              <w:rPr>
                <w:rFonts w:ascii="Calibri" w:hAnsi="Calibri"/>
                <w:b/>
                <w:color w:val="30A46C"/>
                <w:sz w:val="22"/>
              </w:rPr>
              <w:t>POSITIVE</w:t>
            </w:r>
          </w:p>
        </w:tc>
      </w:tr>
    </w:tbl>
    <w:p>
      <w:r>
        <w:rPr>
          <w:rFonts w:ascii="Calibri" w:hAnsi="Calibri"/>
          <w:b/>
          <w:color w:val="525866"/>
          <w:sz w:val="22"/>
        </w:rPr>
        <w:t xml:space="preserve">Overall Peer Read-Through Verdict: </w:t>
      </w:r>
      <w:r>
        <w:rPr>
          <w:rFonts w:ascii="Calibri" w:hAnsi="Calibri"/>
          <w:color w:val="525866"/>
          <w:sz w:val="22"/>
        </w:rPr>
        <w:t xml:space="preserve">The peer commentary scorecard is </w:t>
      </w:r>
    </w:p>
    <w:p>
      <w:r>
        <w:rPr>
          <w:rFonts w:ascii="Calibri" w:hAnsi="Calibri"/>
          <w:b/>
          <w:color w:val="525866"/>
          <w:sz w:val="22"/>
        </w:rPr>
        <w:t>net negative for CTVA’s Q2 CP segment</w:t>
      </w:r>
      <w:r>
        <w:rPr>
          <w:rFonts w:ascii="Calibri" w:hAnsi="Calibri"/>
          <w:color w:val="525866"/>
          <w:sz w:val="22"/>
        </w:rPr>
        <w:t xml:space="preserve"> and </w:t>
      </w:r>
    </w:p>
    <w:p>
      <w:r>
        <w:rPr>
          <w:rFonts w:ascii="Calibri" w:hAnsi="Calibri"/>
          <w:b/>
          <w:color w:val="525866"/>
          <w:sz w:val="22"/>
        </w:rPr>
        <w:t>broadly neutral-to-positive for the Seed segment and medium-term outlook</w:t>
      </w:r>
      <w:r>
        <w:rPr>
          <w:rFonts w:ascii="Calibri" w:hAnsi="Calibri"/>
          <w:color w:val="525866"/>
          <w:sz w:val="22"/>
        </w:rPr>
        <w:t>. The most actionable data point is FMC’s Q2 2026 guidance cut (July 29), which directly challenges CTVA’s H2 CP volume and pricing assumptions. However, CTVA’s CP portfolio is more differentiated than FMC’s (higher new product mix, biologicals, spinosyns), and CTVA’s Seed segment — which drives the majority of Q2 EBITDA — has no direct negative peer read-through. The key question on the Q2 call is whether management will acknowledge incremental H2 CP risk or maintain the current guidance range.</w:t>
      </w:r>
    </w:p>
    <w:p>
      <w:r>
        <w:rPr>
          <w:rFonts w:ascii="Calibri" w:hAnsi="Calibri"/>
          <w:b/>
          <w:color w:val="525866"/>
          <w:sz w:val="22"/>
        </w:rPr>
        <w:t xml:space="preserve">Excluded from this section (per methodology): </w:t>
      </w:r>
      <w:r>
        <w:rPr>
          <w:rFonts w:ascii="Calibri" w:hAnsi="Calibri"/>
          <w:color w:val="525866"/>
          <w:sz w:val="22"/>
        </w:rPr>
        <w:t>FMC Q1 2026 earnings commentary (prior quarter results, not forward-looking for CTVA’s Q2); Mosaic Q2 2026 results (not yet reported as of July 29); NTR Q2 2026 results (not yet reported as of July 29); CF Canada Q4 FY2026 earnings (different fiscal year, not directly comparable to CTVA’s Q2 calendar quarter); ICL Group commentary (potash/specialty fertilizers, limited direct read-through to CTVA’s seed/CP business).</w:t>
      </w:r>
    </w:p>
    <w:p>
      <w:r>
        <w:br w:type="page"/>
      </w:r>
    </w:p>
    <w:p>
      <w:pPr>
        <w:pStyle w:val="Heading2"/>
      </w:pPr>
      <w:r>
        <w:rPr>
          <w:rFonts w:ascii="Calibri" w:hAnsi="Calibri"/>
          <w:b/>
          <w:color w:val="3B4259"/>
          <w:sz w:val="28"/>
        </w:rPr>
        <w:t>Appendix: Key Risks &amp; Watch Items for Q2 2026 Call</w:t>
      </w:r>
    </w:p>
    <w:p>
      <w:pPr>
        <w:pStyle w:val="ListBullet"/>
        <w:ind w:left="360" w:hanging="360"/>
      </w:pPr>
      <w:r>
        <w:rPr>
          <w:rFonts w:ascii="Calibri" w:hAnsi="Calibri"/>
          <w:b/>
          <w:color w:val="525866"/>
          <w:sz w:val="22"/>
        </w:rPr>
        <w:t>FMC guidance cut read-through:</w:t>
      </w:r>
      <w:r>
        <w:rPr>
          <w:rFonts w:ascii="Calibri" w:hAnsi="Calibri"/>
          <w:color w:val="525866"/>
          <w:sz w:val="22"/>
        </w:rPr>
        <w:t xml:space="preserve"> Will management acknowledge incremental H2 CP headwinds beyond the $40M oil headwind already in guidance? Any language around LatAm purchasing patterns or channel inventory will be closely watched.</w:t>
      </w:r>
    </w:p>
    <w:p>
      <w:pPr>
        <w:pStyle w:val="ListBullet"/>
        <w:ind w:left="360" w:hanging="360"/>
      </w:pPr>
      <w:r>
        <w:rPr>
          <w:rFonts w:ascii="Calibri" w:hAnsi="Calibri"/>
          <w:b/>
          <w:color w:val="525866"/>
          <w:sz w:val="22"/>
        </w:rPr>
        <w:t>Dis-synergy update:</w:t>
      </w:r>
      <w:r>
        <w:rPr>
          <w:rFonts w:ascii="Calibri" w:hAnsi="Calibri"/>
          <w:color w:val="525866"/>
          <w:sz w:val="22"/>
        </w:rPr>
        <w:t xml:space="preserve"> Management promised a formal updated dis-synergy number at the Q2 call (upgraded from ‘a little favorable’ to ‘pretty significantly favorable’ at Wolfe on June 17). This is a key positive catalyst if the number is materially better than the initial $100M net estimate.</w:t>
      </w:r>
    </w:p>
    <w:p>
      <w:pPr>
        <w:pStyle w:val="ListBullet"/>
        <w:ind w:left="360" w:hanging="360"/>
      </w:pPr>
      <w:r>
        <w:rPr>
          <w:rFonts w:ascii="Calibri" w:hAnsi="Calibri"/>
          <w:b/>
          <w:color w:val="525866"/>
          <w:sz w:val="22"/>
        </w:rPr>
        <w:t>FY2026 guidance raise vs. hold:</w:t>
      </w:r>
      <w:r>
        <w:rPr>
          <w:rFonts w:ascii="Calibri" w:hAnsi="Calibri"/>
          <w:color w:val="525866"/>
          <w:sz w:val="22"/>
        </w:rPr>
        <w:t xml:space="preserve"> With H1 tracking better than expected, will management raise the $4.0–$4.2B EBITDA range? The stock has priced in some probability of a raise; a hold would be neutral-to-mildly negative.</w:t>
      </w:r>
    </w:p>
    <w:p>
      <w:pPr>
        <w:pStyle w:val="ListBullet"/>
        <w:ind w:left="360" w:hanging="360"/>
      </w:pPr>
      <w:r>
        <w:rPr>
          <w:rFonts w:ascii="Calibri" w:hAnsi="Calibri"/>
          <w:b/>
          <w:color w:val="525866"/>
          <w:sz w:val="22"/>
        </w:rPr>
        <w:t>Rimisoxafen $200M payment impact on FCF:</w:t>
      </w:r>
      <w:r>
        <w:rPr>
          <w:rFonts w:ascii="Calibri" w:hAnsi="Calibri"/>
          <w:color w:val="525866"/>
          <w:sz w:val="22"/>
        </w:rPr>
        <w:t xml:space="preserve"> The $200M upfront payment to FMC for rimisoxafen was confirmed as closed in Q2. This will be a significant Q2 cash outflow; management’s FCF guidance and conversion commentary will be important.</w:t>
      </w:r>
    </w:p>
    <w:p>
      <w:pPr>
        <w:pStyle w:val="ListBullet"/>
        <w:ind w:left="360" w:hanging="360"/>
      </w:pPr>
      <w:r>
        <w:rPr>
          <w:rFonts w:ascii="Calibri" w:hAnsi="Calibri"/>
          <w:b/>
          <w:color w:val="525866"/>
          <w:sz w:val="22"/>
        </w:rPr>
        <w:t>Separation timeline and Investor Day (September 15):</w:t>
      </w:r>
      <w:r>
        <w:rPr>
          <w:rFonts w:ascii="Calibri" w:hAnsi="Calibri"/>
          <w:color w:val="525866"/>
          <w:sz w:val="22"/>
        </w:rPr>
        <w:t xml:space="preserve"> Any update on Q4 2026 separation timeline, Vylor Form 10 progress, and preview of September 15 Investor Day content will be closely watched by investors building sum-of-the-parts models.</w:t>
      </w:r>
    </w:p>
    <w:p>
      <w:pPr>
        <w:pStyle w:val="ListBullet"/>
        <w:ind w:left="360" w:hanging="360"/>
      </w:pPr>
      <w:r>
        <w:rPr>
          <w:rFonts w:ascii="Calibri" w:hAnsi="Calibri"/>
          <w:b/>
          <w:color w:val="525866"/>
          <w:sz w:val="22"/>
        </w:rPr>
        <w:t>Latin America acreage and safrinha corn:</w:t>
      </w:r>
      <w:r>
        <w:rPr>
          <w:rFonts w:ascii="Calibri" w:hAnsi="Calibri"/>
          <w:color w:val="525866"/>
          <w:sz w:val="22"/>
        </w:rPr>
        <w:t xml:space="preserve"> Management guided to flat safrinha acreage at Q1; any update on whether higher energy prices have shifted acreage toward soybeans (1–2M hectares of incremental soy) will affect H2 Seed and CP volume assumptions.</w:t>
      </w:r>
    </w:p>
    <w:p>
      <w:pPr>
        <w:pStyle w:val="ListBullet"/>
        <w:ind w:left="360" w:hanging="360"/>
      </w:pPr>
      <w:r>
        <w:rPr>
          <w:rFonts w:ascii="Calibri" w:hAnsi="Calibri"/>
          <w:b/>
          <w:color w:val="525866"/>
          <w:sz w:val="22"/>
        </w:rPr>
        <w:t>Royalty positive confirmation and magnitude:</w:t>
      </w:r>
      <w:r>
        <w:rPr>
          <w:rFonts w:ascii="Calibri" w:hAnsi="Calibri"/>
          <w:color w:val="525866"/>
          <w:sz w:val="22"/>
        </w:rPr>
        <w:t xml:space="preserve"> Q2 is the peak royalty quarter (highest Seed revenue). Management’s confirmation of royalty positive status and the magnitude of the improvement vs. Q2 2025 will be a key positive catalyst.</w:t>
      </w:r>
    </w:p>
    <w:p>
      <w:r>
        <w:rPr>
          <w:rFonts w:ascii="Calibri" w:hAnsi="Calibri"/>
          <w:b/>
          <w:color w:val="525866"/>
          <w:sz w:val="22"/>
        </w:rPr>
        <w:t>Disclosures &amp; Sources</w:t>
      </w:r>
    </w:p>
    <w:p>
      <w:r>
        <w:rPr>
          <w:rFonts w:ascii="Calibri" w:hAnsi="Calibri"/>
          <w:i/>
          <w:color w:val="525866"/>
          <w:sz w:val="22"/>
        </w:rPr>
        <w:t>All Visible Alpha consensus and actuals data sourced from Visible Alpha Consensus and Actuals Data (https://insights.visiblealpha.com/mex/CTVA_US/NMV/). Corteva Q1 2026 actuals from Corteva Q1 2026 Earnings Release (8-K EX-99.1, May 5, 2026) and Q1 2026 Earnings Call Transcript (May 6, 2026). Post-Q1 management commentary from BMO Capital Markets Global Farm to Market Conference transcript (May 14, 2026) and Wolfe Research Materials of the Future Conference transcript (June 17, 2026). Separation updates from Corteva 8-K/A (June 12, 2026) and 8-K (June 29, 2026). FMC peer commentary from FMC Wells Fargo Industrials &amp; Materials Conference transcript (June 9, 2026), FMC Wolfe Research Materials of the Future Conference transcript (June 17, 2026), and FMC Q2 2026 Earnings Release (July 29, 2026). SMG peer commentary from SMG Q3 FY2026 Earnings Call transcript (July 29, 2026). DOW peer commentary from DOW Q2 2026 Earnings news digest (July 23, 2026). CF Industries dividend announcement from press release (July 8, 2026). Prepared July 29, 2026. This document is for informational purposes only and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