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cvna-earnings-predictions--2026-07-29"/>
    <w:p>
      <w:pPr>
        <w:pStyle w:val="Heading1"/>
      </w:pPr>
      <w:r>
        <w:t xml:space="preserve">CVNA Earnings Predictions — 2026-07-29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CVNA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Retail units sold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~206k vs. cons ~198k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CVNA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EBITDA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</w:t>
            </w:r>
            <m:oMath>
              <m:r>
                <m:t>775</m:t>
              </m:r>
              <m:r>
                <m:t>M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735M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CVNA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Non-GAAP retail GPU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</w:t>
            </w:r>
            <m:oMath>
              <m:r>
                <m:t>3</m:t>
              </m:r>
              <m:r>
                <m:rPr>
                  <m:sty m:val="p"/>
                </m:rPr>
                <m:t>,</m:t>
              </m:r>
              <m:r>
                <m:t>330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3,340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CVNA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Adjusted EBITDA framing (raise/reaffirm 'significant growth')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3.0</m:t>
              </m:r>
              <m:r>
                <m:t>B</m:t>
              </m:r>
              <m:r>
                <m:rPr>
                  <m:sty m:val="p"/>
                </m:rPr>
                <m:t>+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2.9B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CVNA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Q3 2026 sequential records (units &amp; EBITDA)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units ~215k / EBITDA &gt;</w:t>
            </w:r>
            <m:oMath>
              <m:r>
                <m:t>775</m:t>
              </m:r>
              <m:r>
                <m:t>M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  <m:r>
                <m:t>210</m:t>
              </m:r>
              <m:r>
                <m:t>k</m:t>
              </m:r>
              <m:r>
                <m:rPr>
                  <m:sty m:val="p"/>
                </m:rPr>
                <m:t>/</m:t>
              </m:r>
              <m:r>
                <m:t> </m:t>
              </m:r>
            </m:oMath>
            <w:r>
              <w:t xml:space="preserve">760M (Q3 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CVNA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Retail GPU YoY direction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3</m:t>
              </m:r>
              <m:r>
                <m:rPr>
                  <m:sty m:val="p"/>
                </m:rPr>
                <m:t>,</m:t>
              </m:r>
              <m:r>
                <m:t>330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rPr>
                  <m:sty m:val="p"/>
                </m:rPr>
                <m:t>/</m:t>
              </m:r>
              <m:r>
                <m:t>y</m:t>
              </m:r>
              <m:r>
                <m:t>r</m:t>
              </m:r>
              <m:r>
                <m:rPr>
                  <m:sty m:val="p"/>
                </m:rPr>
                <m:t>−</m:t>
              </m:r>
              <m:r>
                <m:t>a</m:t>
              </m:r>
              <m:r>
                <m:t>g</m:t>
              </m:r>
              <m:r>
                <m:t>o</m:t>
              </m:r>
              <m:r>
                <m:t> </m:t>
              </m:r>
            </m:oMath>
            <w:r>
              <w:t xml:space="preserve">3,540 (Q2, down YoY on tariff/spread)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CVNA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+6.0%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CVNA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+3.5% (STABILIZE)</w:t>
            </w:r>
          </w:p>
        </w:tc>
        <w:tc>
          <w:tcPr/>
          <w:p>
            <w:pPr>
              <w:pStyle w:val="Compact"/>
            </w:pPr>
            <w:r>
              <w:t xml:space="preserve">Records on units/EBITDA plus a likely FY26 raise support an initial pop, but the guided YoY retail-GPU decline and rich multiple cap upside; out-period math is neutral-to-slightly-positive (units revised up, GPU/margin revised down), so the initial move largely holds rather than compounding or fully fading. High-beta (~2.0) name means idiosyncratic move dominates the reaction.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2026-07-29T01:43:36Z</dcterms:created>
  <dcterms:modified xsi:type="dcterms:W3CDTF">2026-07-29T01:43:36Z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