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CVNA before writing the preview. Let me gather recent earnings, filings, news, and stock price data.Let me read the most recent earnings materials and check recent news/filings.Let me get the year-ago Q2 2025 numbers for comparison, recent stock price, and any recent news.Let me check for recent news and analyst commentary via document search.I have what I need. Let me write the preview.</w:t>
      </w:r>
    </w:p>
    <w:bookmarkStart w:id="17" w:name="carvana-cvna--q2-2026-earnings-preview"/>
    <w:p>
      <w:pPr>
        <w:pStyle w:val="Heading1"/>
      </w:pPr>
      <w:r>
        <w:t xml:space="preserve">Carvana (CVNA) — Q2 2026 Earnings Preview</w:t>
      </w:r>
    </w:p>
    <w:p>
      <w:pPr>
        <w:pStyle w:val="FirstParagraph"/>
      </w:pPr>
      <w:r>
        <w:rPr>
          <w:b/>
          <w:bCs/>
        </w:rPr>
        <w:t xml:space="preserve">Report date:</w:t>
      </w:r>
      <w:r>
        <w:t xml:space="preserve"> </w:t>
      </w:r>
      <w:r>
        <w:t xml:space="preserve">After market close, Wednesday, July 29, 2026 · Conference call to follow · Event: 2026Q2 Earnings Call</w:t>
      </w:r>
    </w:p>
    <w:p>
      <w:r>
        <w:pict>
          <v:rect style="width:0;height:1.5pt" o:hralign="center" o:hrstd="t" o:hr="t"/>
        </w:pict>
      </w:r>
    </w:p>
    <w:bookmarkStart w:id="9" w:name="the-one-line-setup"/>
    <w:p>
      <w:pPr>
        <w:pStyle w:val="Heading2"/>
      </w:pPr>
      <w:r>
        <w:t xml:space="preserve">The one-line setup</w:t>
      </w:r>
    </w:p>
    <w:p>
      <w:pPr>
        <w:pStyle w:val="FirstParagraph"/>
      </w:pPr>
      <w:r>
        <w:t xml:space="preserve">Carvana enters this print with an enviable operating track record — nine straight quarters as (by its own framing) the fastest-growing</w:t>
      </w:r>
      <w:r>
        <w:t xml:space="preserve"> </w:t>
      </w:r>
      <w:r>
        <w:rPr>
          <w:i/>
          <w:iCs/>
        </w:rPr>
        <w:t xml:space="preserve">and</w:t>
      </w:r>
      <w:r>
        <w:t xml:space="preserve"> </w:t>
      </w:r>
      <w:r>
        <w:t xml:space="preserve">most profitable auto retailer — but with a stock that has drifted lower all year and a set of guided margin headwinds that make Q2 more about the</w:t>
      </w:r>
      <w:r>
        <w:t xml:space="preserve"> </w:t>
      </w:r>
      <w:r>
        <w:rPr>
          <w:i/>
          <w:iCs/>
        </w:rPr>
        <w:t xml:space="preserve">quality</w:t>
      </w:r>
      <w:r>
        <w:t xml:space="preserve"> </w:t>
      </w:r>
      <w:r>
        <w:t xml:space="preserve">of the beat than whether the headline records get set. Management has already told investors that both retail units and Adjusted EBITDA should hit</w:t>
      </w:r>
      <w:r>
        <w:t xml:space="preserve"> </w:t>
      </w:r>
      <w:r>
        <w:rPr>
          <w:b/>
          <w:bCs/>
        </w:rPr>
        <w:t xml:space="preserve">all-time records</w:t>
      </w:r>
      <w:r>
        <w:t xml:space="preserve"> </w:t>
      </w:r>
      <w:r>
        <w:t xml:space="preserve">in Q2; the debate is around GPU direction, the reconditioning recovery, and whether the multiple can hold.</w:t>
      </w:r>
    </w:p>
    <w:p>
      <w:r>
        <w:pict>
          <v:rect style="width:0;height:1.5pt" o:hralign="center" o:hrstd="t" o:hr="t"/>
        </w:pict>
      </w:r>
    </w:p>
    <w:bookmarkEnd w:id="9"/>
    <w:bookmarkStart w:id="10" w:name="what-management-already-promised-for-q2"/>
    <w:p>
      <w:pPr>
        <w:pStyle w:val="Heading2"/>
      </w:pPr>
      <w:r>
        <w:t xml:space="preserve">What management already promised for Q2</w:t>
      </w:r>
    </w:p>
    <w:p>
      <w:pPr>
        <w:pStyle w:val="FirstParagraph"/>
      </w:pPr>
      <w:r>
        <w:t xml:space="preserve">On the Q1 call (reported April 29), CFO Mark Jenkins and CEO Ernie Garcia set a fairly specific bar:</w:t>
      </w:r>
    </w:p>
    <w:p>
      <w:pPr>
        <w:pStyle w:val="Compact"/>
        <w:numPr>
          <w:ilvl w:val="0"/>
          <w:numId w:val="1001"/>
        </w:numPr>
      </w:pPr>
      <w:r>
        <w:rPr>
          <w:b/>
          <w:bCs/>
        </w:rPr>
        <w:t xml:space="preserve">Records on both units and EBITDA.</w:t>
      </w:r>
      <w:r>
        <w:t xml:space="preserve"> </w:t>
      </w:r>
      <w:r>
        <w:t xml:space="preserve">"Assuming the environment remains stable, we expect a sequential increase in both retail units sold and Adjusted EBITDA, leading to all-time company records on both metrics."</w:t>
      </w:r>
    </w:p>
    <w:p>
      <w:pPr>
        <w:pStyle w:val="Compact"/>
        <w:numPr>
          <w:ilvl w:val="0"/>
          <w:numId w:val="1001"/>
        </w:numPr>
      </w:pPr>
      <w:r>
        <w:rPr>
          <w:b/>
          <w:bCs/>
        </w:rPr>
        <w:t xml:space="preserve">Full-year 2026:</w:t>
      </w:r>
      <w:r>
        <w:t xml:space="preserve"> </w:t>
      </w:r>
      <w:r>
        <w:t xml:space="preserve">"significant growth in both retail units sold and Adjusted EBITDA."</w:t>
      </w:r>
    </w:p>
    <w:p>
      <w:pPr>
        <w:pStyle w:val="FirstParagraph"/>
      </w:pPr>
      <w:r>
        <w:t xml:space="preserve">Because Q1 2026 units were</w:t>
      </w:r>
      <w:r>
        <w:t xml:space="preserve"> </w:t>
      </w:r>
      <w:r>
        <w:rPr>
          <w:b/>
          <w:bCs/>
        </w:rPr>
        <w:t xml:space="preserve">187,393</w:t>
      </w:r>
      <w:r>
        <w:t xml:space="preserve"> </w:t>
      </w:r>
      <w:r>
        <w:t xml:space="preserve">and Adjusted EBITDA was</w:t>
      </w:r>
      <w:r>
        <w:t xml:space="preserve"> </w:t>
      </w:r>
      <w:r>
        <w:rPr>
          <w:b/>
          <w:bCs/>
        </w:rPr>
        <w:t xml:space="preserve">$672M</w:t>
      </w:r>
      <w:r>
        <w:t xml:space="preserve">, the guidance implies Q2 units</w:t>
      </w:r>
      <w:r>
        <w:t xml:space="preserve"> </w:t>
      </w:r>
      <w:r>
        <w:rPr>
          <w:b/>
          <w:bCs/>
        </w:rPr>
        <w:t xml:space="preserve">above ~187k</w:t>
      </w:r>
      <w:r>
        <w:t xml:space="preserve"> </w:t>
      </w:r>
      <w:r>
        <w:t xml:space="preserve">and EBITDA</w:t>
      </w:r>
      <w:r>
        <w:t xml:space="preserve"> </w:t>
      </w:r>
      <w:r>
        <w:rPr>
          <w:b/>
          <w:bCs/>
        </w:rPr>
        <w:t xml:space="preserve">above</w:t>
      </w:r>
      <w:r>
        <w:rPr>
          <w:b/>
          <w:bCs/>
        </w:rPr>
        <w:t xml:space="preserve"> </w:t>
      </w:r>
      <m:oMath>
        <m:r>
          <m:t>672</m:t>
        </m:r>
        <m:r>
          <m:t>M</m:t>
        </m:r>
        <m:r>
          <m:rPr>
            <m:sty m:val="p"/>
          </m:rPr>
          <m:t>*</m:t>
        </m:r>
        <m:r>
          <m:rPr>
            <m:sty m:val="p"/>
          </m:rPr>
          <m:t>*</m:t>
        </m:r>
        <m:r>
          <m:rPr>
            <m:sty m:val="p"/>
          </m:rPr>
          <m:t>.</m:t>
        </m:r>
        <m:r>
          <m:t>F</m:t>
        </m:r>
        <m:r>
          <m:t>o</m:t>
        </m:r>
        <m:r>
          <m:t>r</m:t>
        </m:r>
        <m:r>
          <m:t>c</m:t>
        </m:r>
        <m:r>
          <m:t>o</m:t>
        </m:r>
        <m:r>
          <m:t>n</m:t>
        </m:r>
        <m:r>
          <m:t>t</m:t>
        </m:r>
        <m:r>
          <m:t>e</m:t>
        </m:r>
        <m:r>
          <m:t>x</m:t>
        </m:r>
        <m:r>
          <m:t>t</m:t>
        </m:r>
        <m:r>
          <m:rPr>
            <m:sty m:val="p"/>
          </m:rPr>
          <m:t>,</m:t>
        </m:r>
        <m:r>
          <m:t>t</m:t>
        </m:r>
        <m:r>
          <m:t>h</m:t>
        </m:r>
        <m:r>
          <m:t>e</m:t>
        </m:r>
        <m:r>
          <m:t>y</m:t>
        </m:r>
        <m:r>
          <m:t>e</m:t>
        </m:r>
        <m:r>
          <m:t>a</m:t>
        </m:r>
        <m:r>
          <m:t>r</m:t>
        </m:r>
        <m:r>
          <m:rPr>
            <m:sty m:val="p"/>
          </m:rPr>
          <m:t>−</m:t>
        </m:r>
        <m:r>
          <m:t>a</m:t>
        </m:r>
        <m:r>
          <m:t>g</m:t>
        </m:r>
        <m:r>
          <m:t>o</m:t>
        </m:r>
        <m:r>
          <m:t>Q</m:t>
        </m:r>
        <m:r>
          <m:t>2</m:t>
        </m:r>
        <m:r>
          <m:t>2025</m:t>
        </m:r>
        <m:r>
          <m:t>d</m:t>
        </m:r>
        <m:r>
          <m:t>e</m:t>
        </m:r>
        <m:r>
          <m:t>l</m:t>
        </m:r>
        <m:r>
          <m:t>i</m:t>
        </m:r>
        <m:r>
          <m:t>v</m:t>
        </m:r>
        <m:r>
          <m:t>e</m:t>
        </m:r>
        <m:r>
          <m:t>r</m:t>
        </m:r>
        <m:r>
          <m:t>e</m:t>
        </m:r>
        <m:r>
          <m:t>d</m:t>
        </m:r>
        <m:r>
          <m:rPr>
            <m:sty m:val="p"/>
          </m:rPr>
          <m:t>*</m:t>
        </m:r>
        <m:r>
          <m:rPr>
            <m:sty m:val="p"/>
          </m:rPr>
          <m:t>*</m:t>
        </m:r>
        <m:r>
          <m:t>143</m:t>
        </m:r>
        <m:r>
          <m:rPr>
            <m:sty m:val="p"/>
          </m:rPr>
          <m:t>,</m:t>
        </m:r>
        <m:r>
          <m:t>280</m:t>
        </m:r>
        <m:r>
          <m:t>u</m:t>
        </m:r>
        <m:r>
          <m:t>n</m:t>
        </m:r>
        <m:r>
          <m:t>i</m:t>
        </m:r>
        <m:r>
          <m:t>t</m:t>
        </m:r>
        <m:r>
          <m:t>s</m:t>
        </m:r>
        <m:r>
          <m:rPr>
            <m:sty m:val="p"/>
          </m:rPr>
          <m:t>(</m:t>
        </m:r>
        <m:r>
          <m:rPr>
            <m:sty m:val="p"/>
          </m:rPr>
          <m:t>+</m:t>
        </m:r>
        <m:r>
          <m:t>41</m:t>
        </m:r>
      </m:oMath>
      <w:r>
        <w:rPr>
          <w:b/>
          <w:bCs/>
        </w:rPr>
        <w:t xml:space="preserve">4.84B revenue</w:t>
      </w:r>
      <w:r>
        <w:t xml:space="preserve">, and</w:t>
      </w:r>
      <w:r>
        <w:t xml:space="preserve"> </w:t>
      </w:r>
      <w:r>
        <w:rPr>
          <w:b/>
          <w:bCs/>
        </w:rPr>
        <w:t xml:space="preserve">$601M Adjusted EBITDA (12.4% margin)</w:t>
      </w:r>
      <w:r>
        <w:t xml:space="preserve">. Simply matching the recent ~40% YoY unit cadence would put Q2 2026 around **~200k units**.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2025 (yr ago)</w:t>
            </w:r>
          </w:p>
        </w:tc>
        <w:tc>
          <w:tcPr/>
          <w:p>
            <w:pPr>
              <w:pStyle w:val="Compact"/>
            </w:pPr>
            <w:r>
              <w:t xml:space="preserve">Q1 2026 (last qtr)</w:t>
            </w:r>
          </w:p>
        </w:tc>
        <w:tc>
          <w:tcPr/>
          <w:p>
            <w:pPr>
              <w:pStyle w:val="Compact"/>
            </w:pPr>
            <w:r>
              <w:t xml:space="preserve">Q2 2026 (implied bar)</w:t>
            </w:r>
          </w:p>
        </w:tc>
      </w:tr>
      <w:tr>
        <w:tc>
          <w:tcPr/>
          <w:p>
            <w:pPr>
              <w:pStyle w:val="Compact"/>
            </w:pPr>
            <w:r>
              <w:t xml:space="preserve">Retail units</w:t>
            </w:r>
          </w:p>
        </w:tc>
        <w:tc>
          <w:tcPr/>
          <w:p>
            <w:pPr>
              <w:pStyle w:val="Compact"/>
            </w:pPr>
            <w:r>
              <w:t xml:space="preserve">143,280 (+41%)</w:t>
            </w:r>
          </w:p>
        </w:tc>
        <w:tc>
          <w:tcPr/>
          <w:p>
            <w:pPr>
              <w:pStyle w:val="Compact"/>
            </w:pPr>
            <w:r>
              <w:t xml:space="preserve">187,393 (+40%)</w:t>
            </w:r>
          </w:p>
        </w:tc>
        <w:tc>
          <w:tcPr/>
          <w:p>
            <w:pPr>
              <w:pStyle w:val="Compact"/>
            </w:pPr>
            <w:r>
              <w:t xml:space="preserve">&gt;187k; ~200k at ~40% YoY</w:t>
            </w:r>
          </w:p>
        </w:tc>
      </w:tr>
      <w:tr>
        <w:tc>
          <w:tcPr/>
          <w:p>
            <w:pPr>
              <w:pStyle w:val="Compact"/>
            </w:pPr>
            <w:r>
              <w:t xml:space="preserve">Revenue</w:t>
            </w:r>
          </w:p>
        </w:tc>
        <w:tc>
          <w:tcPr/>
          <w:p>
            <w:pPr>
              <w:pStyle w:val="Compact"/>
            </w:pPr>
            <w:r>
              <w:t xml:space="preserve">$4.84B</w:t>
            </w:r>
          </w:p>
        </w:tc>
        <w:tc>
          <w:tcPr/>
          <w:p>
            <w:pPr>
              <w:pStyle w:val="Compact"/>
            </w:pPr>
            <w:r>
              <w:t xml:space="preserve">$6.43B</w:t>
            </w:r>
          </w:p>
        </w:tc>
        <w:tc>
          <w:tcPr/>
          <w:p>
            <w:pPr>
              <w:pStyle w:val="Compact"/>
            </w:pPr>
            <w:r>
              <w:t xml:space="preserve">Record</w:t>
            </w:r>
          </w:p>
        </w:tc>
      </w:tr>
      <w:tr>
        <w:tc>
          <w:tcPr/>
          <w:p>
            <w:pPr>
              <w:pStyle w:val="Compact"/>
            </w:pPr>
            <w:r>
              <w:t xml:space="preserve">Adjusted EBITDA</w:t>
            </w:r>
          </w:p>
        </w:tc>
        <w:tc>
          <w:tcPr/>
          <w:p>
            <w:pPr>
              <w:pStyle w:val="Compact"/>
            </w:pPr>
            <w:r>
              <w:t xml:space="preserve">$601M (12.4%)</w:t>
            </w:r>
          </w:p>
        </w:tc>
        <w:tc>
          <w:tcPr/>
          <w:p>
            <w:pPr>
              <w:pStyle w:val="Compact"/>
            </w:pPr>
            <w:r>
              <w:t xml:space="preserve">$672M (10.4%)</w:t>
            </w:r>
          </w:p>
        </w:tc>
        <w:tc>
          <w:tcPr/>
          <w:p>
            <w:pPr>
              <w:pStyle w:val="Compact"/>
            </w:pPr>
            <w:r>
              <w:t xml:space="preserve">New record (&gt;$672M)</w:t>
            </w:r>
          </w:p>
        </w:tc>
      </w:tr>
      <w:tr>
        <w:tc>
          <w:tcPr/>
          <w:p>
            <w:pPr>
              <w:pStyle w:val="Compact"/>
            </w:pPr>
            <w:r>
              <w:t xml:space="preserve">Net income margin</w:t>
            </w:r>
          </w:p>
        </w:tc>
        <w:tc>
          <w:tcPr/>
          <w:p>
            <w:pPr>
              <w:pStyle w:val="Compact"/>
            </w:pPr>
            <w:r>
              <w:t xml:space="preserve">6.4%</w:t>
            </w:r>
          </w:p>
        </w:tc>
        <w:tc>
          <w:tcPr/>
          <w:p>
            <w:pPr>
              <w:pStyle w:val="Compact"/>
            </w:pPr>
            <w:r>
              <w:t xml:space="preserve">6.3%</w:t>
            </w:r>
          </w:p>
        </w:tc>
        <w:tc>
          <w:tcPr/>
          <w:p>
            <w:pPr>
              <w:pStyle w:val="Compact"/>
            </w:pPr>
            <w:r>
              <w:t xml:space="preserve">—</w:t>
            </w:r>
          </w:p>
        </w:tc>
      </w:tr>
      <w:tr>
        <w:tc>
          <w:tcPr/>
          <w:p>
            <w:pPr>
              <w:pStyle w:val="Compact"/>
            </w:pPr>
            <w:r>
              <w:t xml:space="preserve">GAAP operating income</w:t>
            </w:r>
          </w:p>
        </w:tc>
        <w:tc>
          <w:tcPr/>
          <w:p>
            <w:pPr>
              <w:pStyle w:val="Compact"/>
            </w:pPr>
            <w:r>
              <w:t xml:space="preserve">$511M</w:t>
            </w:r>
          </w:p>
        </w:tc>
        <w:tc>
          <w:tcPr/>
          <w:p>
            <w:pPr>
              <w:pStyle w:val="Compact"/>
            </w:pPr>
            <w:r>
              <w:t xml:space="preserve">$581M</w:t>
            </w:r>
          </w:p>
        </w:tc>
        <w:tc>
          <w:tcPr/>
          <w:p>
            <w:pPr>
              <w:pStyle w:val="Compact"/>
            </w:pPr>
            <w:r>
              <w:t xml:space="preserve">—</w:t>
            </w:r>
          </w:p>
        </w:tc>
      </w:tr>
    </w:tbl>
    <w:p>
      <w:r>
        <w:pict>
          <v:rect style="width:0;height:1.5pt" o:hralign="center" o:hrstd="t" o:hr="t"/>
        </w:pict>
      </w:r>
    </w:p>
    <w:bookmarkEnd w:id="10"/>
    <w:bookmarkStart w:id="11" w:name="X8405653cf9745b0436d6f105ccadb46c9763430"/>
    <w:p>
      <w:pPr>
        <w:pStyle w:val="Heading2"/>
      </w:pPr>
      <w:r>
        <w:t xml:space="preserve">The most important thing to watch: GPU, and specifically the</w:t>
      </w:r>
      <w:r>
        <w:t xml:space="preserve"> </w:t>
      </w:r>
      <w:r>
        <w:rPr>
          <w:i/>
          <w:iCs/>
        </w:rPr>
        <w:t xml:space="preserve">guided</w:t>
      </w:r>
      <w:r>
        <w:t xml:space="preserve"> </w:t>
      </w:r>
      <w:r>
        <w:t xml:space="preserve">year-over-year decline</w:t>
      </w:r>
    </w:p>
    <w:p>
      <w:pPr>
        <w:pStyle w:val="FirstParagraph"/>
      </w:pPr>
      <w:r>
        <w:t xml:space="preserve">This is where a "record EBITDA" quarter could still disappoint. Management explicitly guided</w:t>
      </w:r>
      <w:r>
        <w:t xml:space="preserve"> </w:t>
      </w:r>
      <w:r>
        <w:rPr>
          <w:b/>
          <w:bCs/>
        </w:rPr>
        <w:t xml:space="preserve">retail GPU to fall year-over-year in Q2</w:t>
      </w:r>
      <w:r>
        <w:t xml:space="preserve"> </w:t>
      </w:r>
      <w:r>
        <w:t xml:space="preserve">(while rising sequentially), driven by three things:</w:t>
      </w:r>
    </w:p>
    <w:p>
      <w:pPr>
        <w:pStyle w:val="Compact"/>
        <w:numPr>
          <w:ilvl w:val="0"/>
          <w:numId w:val="1002"/>
        </w:numPr>
      </w:pPr>
      <w:r>
        <w:rPr>
          <w:b/>
          <w:bCs/>
        </w:rPr>
        <w:t xml:space="preserve">~$100/unit of tariff-related benefit</w:t>
      </w:r>
      <w:r>
        <w:t xml:space="preserve"> </w:t>
      </w:r>
      <w:r>
        <w:t xml:space="preserve">that boosted the year-ago Q2 and won't repeat.</w:t>
      </w:r>
    </w:p>
    <w:p>
      <w:pPr>
        <w:pStyle w:val="Compact"/>
        <w:numPr>
          <w:ilvl w:val="0"/>
          <w:numId w:val="1002"/>
        </w:numPr>
      </w:pPr>
      <w:r>
        <w:rPr>
          <w:b/>
          <w:bCs/>
        </w:rPr>
        <w:t xml:space="preserve">Lower shipping fees and higher non-vehicle (reconditioning) costs</w:t>
      </w:r>
      <w:r>
        <w:t xml:space="preserve"> </w:t>
      </w:r>
      <w:r>
        <w:t xml:space="preserve">this year — Carvana has been deliberately passing logistics savings back to customers.</w:t>
      </w:r>
    </w:p>
    <w:p>
      <w:pPr>
        <w:pStyle w:val="Compact"/>
        <w:numPr>
          <w:ilvl w:val="0"/>
          <w:numId w:val="1002"/>
        </w:numPr>
      </w:pPr>
      <w:r>
        <w:rPr>
          <w:b/>
          <w:bCs/>
        </w:rPr>
        <w:t xml:space="preserve">~</w:t>
      </w:r>
      <m:oMath>
        <m:r>
          <m:t>100</m:t>
        </m:r>
        <m:r>
          <m:rPr>
            <m:sty m:val="p"/>
          </m:rPr>
          <m:t>–</m:t>
        </m:r>
      </m:oMath>
      <w:r>
        <w:rPr>
          <w:b/>
          <w:bCs/>
        </w:rPr>
        <w:t xml:space="preserve">200/unit hit from narrower industry-wide wholesale-to-retail spreads</w:t>
      </w:r>
      <w:r>
        <w:t xml:space="preserve">, after an unusually hot Q1 wholesale market where retail prices lagged.</w:t>
      </w:r>
    </w:p>
    <w:p>
      <w:pPr>
        <w:pStyle w:val="FirstParagraph"/>
      </w:pPr>
      <w:r>
        <w:t xml:space="preserve">Garcia characterized the spread compression as</w:t>
      </w:r>
      <w:r>
        <w:t xml:space="preserve"> </w:t>
      </w:r>
      <w:r>
        <w:rPr>
          <w:b/>
          <w:bCs/>
        </w:rPr>
        <w:t xml:space="preserve">transitory/seasonal</w:t>
      </w:r>
      <w:r>
        <w:t xml:space="preserve"> </w:t>
      </w:r>
      <w:r>
        <w:t xml:space="preserve">("catching up on a little bit longer lag"), so listen for whether that reversed as expected. Non-GAAP total GPU has been drifting:</w:t>
      </w:r>
      <w:r>
        <w:t xml:space="preserve"> </w:t>
      </w:r>
      <w:r>
        <w:rPr>
          <w:b/>
          <w:bCs/>
        </w:rPr>
        <w:t xml:space="preserve">$7,140 (Q1'25) → $6,562 (Q4'25) → $6,911 (Q1'26)</w:t>
      </w:r>
      <w:r>
        <w:t xml:space="preserve">. Any</w:t>
      </w:r>
      <w:r>
        <w:t xml:space="preserve"> </w:t>
      </w:r>
      <w:r>
        <w:rPr>
          <w:i/>
          <w:iCs/>
        </w:rPr>
        <w:t xml:space="preserve">sequential</w:t>
      </w:r>
      <w:r>
        <w:t xml:space="preserve"> </w:t>
      </w:r>
      <w:r>
        <w:t xml:space="preserve">improvement in retail GPU (Q1'26 non-GAAP retail GPU was $3,250) would be read as the wholesale/retail spread and recon costs normalizing.</w:t>
      </w:r>
    </w:p>
    <w:p>
      <w:r>
        <w:pict>
          <v:rect style="width:0;height:1.5pt" o:hralign="center" o:hrstd="t" o:hr="t"/>
        </w:pict>
      </w:r>
    </w:p>
    <w:bookmarkEnd w:id="11"/>
    <w:bookmarkStart w:id="12" w:name="X91f30aa60e54281f5003f9bedb1073d32605e15"/>
    <w:p>
      <w:pPr>
        <w:pStyle w:val="Heading2"/>
      </w:pPr>
      <w:r>
        <w:t xml:space="preserve">The reconditioning story — the swing factor on margins</w:t>
      </w:r>
    </w:p>
    <w:p>
      <w:pPr>
        <w:pStyle w:val="FirstParagraph"/>
      </w:pPr>
      <w:r>
        <w:t xml:space="preserve">The key operational narrative: Carvana hit a</w:t>
      </w:r>
      <w:r>
        <w:t xml:space="preserve"> </w:t>
      </w:r>
      <w:r>
        <w:rPr>
          <w:b/>
          <w:bCs/>
        </w:rPr>
        <w:t xml:space="preserve">"bump in recon" in Q4 2025</w:t>
      </w:r>
      <w:r>
        <w:t xml:space="preserve"> </w:t>
      </w:r>
      <w:r>
        <w:t xml:space="preserve">that pressured GPU and dinged the stock. Management spent most of the Q1 call on the recovery — centralized labor scheduling, new "Roll Call" tooling under its Carli software, and AI-driven line optimization. Crucially, they said that by early Q2,</w:t>
      </w:r>
      <w:r>
        <w:t xml:space="preserve"> </w:t>
      </w:r>
      <w:r>
        <w:rPr>
          <w:b/>
          <w:bCs/>
        </w:rPr>
        <w:t xml:space="preserve">labor hours per unit were "just shy of our all-time best."</w:t>
      </w:r>
    </w:p>
    <w:p>
      <w:pPr>
        <w:pStyle w:val="BodyText"/>
      </w:pPr>
      <w:r>
        <w:t xml:space="preserve">Two things to note:</w:t>
      </w:r>
    </w:p>
    <w:p>
      <w:pPr>
        <w:pStyle w:val="Compact"/>
        <w:numPr>
          <w:ilvl w:val="0"/>
          <w:numId w:val="1003"/>
        </w:numPr>
      </w:pPr>
      <w:r>
        <w:rPr>
          <w:b/>
          <w:bCs/>
        </w:rPr>
        <w:t xml:space="preserve">Timing lag:</w:t>
      </w:r>
      <w:r>
        <w:t xml:space="preserve"> </w:t>
      </w:r>
      <w:r>
        <w:t xml:space="preserve">recon cost is capitalized into inventory and only hits the P&amp;L</w:t>
      </w:r>
      <w:r>
        <w:t xml:space="preserve"> </w:t>
      </w:r>
      <w:r>
        <w:rPr>
          <w:i/>
          <w:iCs/>
        </w:rPr>
        <w:t xml:space="preserve">when the car sells</w:t>
      </w:r>
      <w:r>
        <w:t xml:space="preserve"> </w:t>
      </w:r>
      <w:r>
        <w:t xml:space="preserve">("cars carry the cost of reconditioning at the time they were produced, not when sold"). So the efficiency gains achieved in Q2 should be the quarter where the improvement actually flows through gross profit — a potential positive surprise.</w:t>
      </w:r>
    </w:p>
    <w:p>
      <w:pPr>
        <w:pStyle w:val="Compact"/>
        <w:numPr>
          <w:ilvl w:val="0"/>
          <w:numId w:val="1003"/>
        </w:numPr>
      </w:pPr>
      <w:r>
        <w:t xml:space="preserve">Management tempered expectations, saying the full benefit "will take time" and there is still a several-hundred-dollar spread between top- and bottom-quartile facilities.</w:t>
      </w:r>
    </w:p>
    <w:p>
      <w:r>
        <w:pict>
          <v:rect style="width:0;height:1.5pt" o:hralign="center" o:hrstd="t" o:hr="t"/>
        </w:pict>
      </w:r>
    </w:p>
    <w:bookmarkEnd w:id="12"/>
    <w:bookmarkStart w:id="13" w:name="other-model-watch-items"/>
    <w:p>
      <w:pPr>
        <w:pStyle w:val="Heading2"/>
      </w:pPr>
      <w:r>
        <w:t xml:space="preserve">Other model watch-items</w:t>
      </w:r>
    </w:p>
    <w:p>
      <w:pPr>
        <w:pStyle w:val="Compact"/>
        <w:numPr>
          <w:ilvl w:val="0"/>
          <w:numId w:val="1004"/>
        </w:numPr>
      </w:pPr>
      <w:r>
        <w:rPr>
          <w:b/>
          <w:bCs/>
        </w:rPr>
        <w:t xml:space="preserve">Overhead reset.</w:t>
      </w:r>
      <w:r>
        <w:t xml:space="preserve"> </w:t>
      </w:r>
      <w:r>
        <w:t xml:space="preserve">Q1 overhead stepped up (seasonal SBC vesting, winter snow-removal, and AI/tech + facility investments). Jenkins framed Q1 as a</w:t>
      </w:r>
      <w:r>
        <w:t xml:space="preserve"> </w:t>
      </w:r>
      <w:r>
        <w:rPr>
          <w:b/>
          <w:bCs/>
        </w:rPr>
        <w:t xml:space="preserve">"new level"</w:t>
      </w:r>
      <w:r>
        <w:t xml:space="preserve"> </w:t>
      </w:r>
      <w:r>
        <w:t xml:space="preserve">rather than a one-off — so don't expect a big sequential drop; watch for creep.</w:t>
      </w:r>
    </w:p>
    <w:p>
      <w:pPr>
        <w:pStyle w:val="Compact"/>
        <w:numPr>
          <w:ilvl w:val="0"/>
          <w:numId w:val="1004"/>
        </w:numPr>
      </w:pPr>
      <w:r>
        <w:rPr>
          <w:b/>
          <w:bCs/>
        </w:rPr>
        <w:t xml:space="preserve">Advertising.</w:t>
      </w:r>
      <w:r>
        <w:t xml:space="preserve"> </w:t>
      </w:r>
      <w:r>
        <w:t xml:space="preserve">Ad spend/unit rose ~</w:t>
      </w:r>
      <m:oMath>
        <m:r>
          <m:t>92</m:t>
        </m:r>
        <m:r>
          <m:t>Y</m:t>
        </m:r>
        <m:r>
          <m:t>o</m:t>
        </m:r>
        <m:r>
          <m:t>Y</m:t>
        </m:r>
        <m:r>
          <m:t>i</m:t>
        </m:r>
        <m:r>
          <m:t>n</m:t>
        </m:r>
        <m:r>
          <m:t>Q</m:t>
        </m:r>
        <m:r>
          <m:t>1</m:t>
        </m:r>
        <m:r>
          <m:rPr>
            <m:sty m:val="p"/>
          </m:rPr>
          <m:t>(</m:t>
        </m:r>
      </m:oMath>
      <w:r>
        <w:t xml:space="preserve">630/unit). Management intends to keep spending given only ~2% used-car market share vs. ~20% e-commerce penetration in other retail. A step-up pressures near-term SG&amp;A but is the deliberate growth lever.</w:t>
      </w:r>
    </w:p>
    <w:p>
      <w:pPr>
        <w:pStyle w:val="Compact"/>
        <w:numPr>
          <w:ilvl w:val="0"/>
          <w:numId w:val="1004"/>
        </w:numPr>
      </w:pPr>
      <w:r>
        <w:rPr>
          <w:b/>
          <w:bCs/>
        </w:rPr>
        <w:t xml:space="preserve">Fuel/diesel.</w:t>
      </w:r>
      <w:r>
        <w:t xml:space="preserve"> </w:t>
      </w:r>
      <w:r>
        <w:t xml:space="preserve">With fuel prices elevated (Iran-conflict backdrop cited in Q1), expect a modest logistics/cost-of-sales headwind in Q2 — management flagged it as within "normal quarter-to-quarter fluctuations."</w:t>
      </w:r>
    </w:p>
    <w:p>
      <w:pPr>
        <w:pStyle w:val="Compact"/>
        <w:numPr>
          <w:ilvl w:val="0"/>
          <w:numId w:val="1004"/>
        </w:numPr>
      </w:pPr>
      <w:r>
        <w:rPr>
          <w:b/>
          <w:bCs/>
        </w:rPr>
        <w:t xml:space="preserve">Other GPU / financing.</w:t>
      </w:r>
      <w:r>
        <w:t xml:space="preserve"> </w:t>
      </w:r>
      <w:r>
        <w:t xml:space="preserve">Carvana has been giving rate concessions back to customers (lower other GPU) offset by higher finance &amp; VSC attach. Watch the loan-sale gain dynamics and any change in prime/subprime mix.</w:t>
      </w:r>
    </w:p>
    <w:p>
      <w:pPr>
        <w:pStyle w:val="Compact"/>
        <w:numPr>
          <w:ilvl w:val="0"/>
          <w:numId w:val="1004"/>
        </w:numPr>
      </w:pPr>
      <w:r>
        <w:rPr>
          <w:b/>
          <w:bCs/>
        </w:rPr>
        <w:t xml:space="preserve">GAAP noise from Root warrants.</w:t>
      </w:r>
      <w:r>
        <w:t xml:space="preserve"> </w:t>
      </w:r>
      <w:r>
        <w:t xml:space="preserve">GAAP net income swings with warrant fair value (a</w:t>
      </w:r>
      <w:r>
        <w:t xml:space="preserve"> </w:t>
      </w:r>
      <w:r>
        <w:rPr>
          <w:b/>
          <w:bCs/>
        </w:rPr>
        <w:t xml:space="preserve">-</w:t>
      </w:r>
      <m:oMath>
        <m:r>
          <m:t>42</m:t>
        </m:r>
        <m:r>
          <m:t>M</m:t>
        </m:r>
        <m:r>
          <m:rPr>
            <m:sty m:val="p"/>
          </m:rPr>
          <m:t>*</m:t>
        </m:r>
        <m:r>
          <m:rPr>
            <m:sty m:val="p"/>
          </m:rPr>
          <m:t>*</m:t>
        </m:r>
        <m:r>
          <m:t>d</m:t>
        </m:r>
        <m:r>
          <m:t>r</m:t>
        </m:r>
        <m:r>
          <m:t>a</m:t>
        </m:r>
        <m:r>
          <m:t>g</m:t>
        </m:r>
        <m:r>
          <m:t>i</m:t>
        </m:r>
        <m:r>
          <m:t>n</m:t>
        </m:r>
        <m:r>
          <m:t>Q</m:t>
        </m:r>
        <m:r>
          <m:t>1</m:t>
        </m:r>
        <m:r>
          <m:t>v</m:t>
        </m:r>
        <m:r>
          <m:t>s</m:t>
        </m:r>
        <m:r>
          <m:rPr>
            <m:sty m:val="p"/>
          </m:rPr>
          <m:t>.</m:t>
        </m:r>
        <m:r>
          <m:t>a</m:t>
        </m:r>
        <m:r>
          <m:rPr>
            <m:sty m:val="p"/>
          </m:rPr>
          <m:t>*</m:t>
        </m:r>
        <m:r>
          <m:rPr>
            <m:sty m:val="p"/>
          </m:rPr>
          <m:t>*</m:t>
        </m:r>
        <m:r>
          <m:rPr>
            <m:sty m:val="p"/>
          </m:rPr>
          <m:t>+</m:t>
        </m:r>
      </m:oMath>
      <w:r>
        <w:rPr>
          <w:b/>
          <w:bCs/>
        </w:rPr>
        <w:t xml:space="preserve">158M</w:t>
      </w:r>
      <w:r>
        <w:t xml:space="preserve"> </w:t>
      </w:r>
      <w:r>
        <w:t xml:space="preserve">gain in the year-ago period). This makes GAAP EPS volatile and less comparable — Adjusted EBITDA and operating income are the cleaner reads.</w:t>
      </w:r>
    </w:p>
    <w:p>
      <w:r>
        <w:pict>
          <v:rect style="width:0;height:1.5pt" o:hralign="center" o:hrstd="t" o:hr="t"/>
        </w:pict>
      </w:r>
    </w:p>
    <w:bookmarkEnd w:id="13"/>
    <w:bookmarkStart w:id="14" w:name="X829b0c2c1253a439dcde721417418770a602b3e"/>
    <w:p>
      <w:pPr>
        <w:pStyle w:val="Heading2"/>
      </w:pPr>
      <w:r>
        <w:t xml:space="preserve">Balance sheet &amp; capacity — the structural bull case</w:t>
      </w:r>
    </w:p>
    <w:p>
      <w:pPr>
        <w:pStyle w:val="Compact"/>
        <w:numPr>
          <w:ilvl w:val="0"/>
          <w:numId w:val="1005"/>
        </w:numPr>
      </w:pPr>
      <w:r>
        <w:rPr>
          <w:b/>
          <w:bCs/>
        </w:rPr>
        <w:t xml:space="preserve">Deleveraging:</w:t>
      </w:r>
      <w:r>
        <w:t xml:space="preserve"> </w:t>
      </w:r>
      <w:r>
        <w:t xml:space="preserve">net debt / TTM Adjusted EBITDA fell to</w:t>
      </w:r>
      <w:r>
        <w:t xml:space="preserve"> </w:t>
      </w:r>
      <w:r>
        <w:rPr>
          <w:b/>
          <w:bCs/>
        </w:rPr>
        <w:t xml:space="preserve">1.1x</w:t>
      </w:r>
      <w:r>
        <w:t xml:space="preserve"> </w:t>
      </w:r>
      <w:r>
        <w:t xml:space="preserve">in Q1, described as the strongest ever, with the stated goal of reaching investment-grade credit ratios. Liquidity was ~$6.9B (cash $2.41B).</w:t>
      </w:r>
    </w:p>
    <w:p>
      <w:pPr>
        <w:pStyle w:val="Compact"/>
        <w:numPr>
          <w:ilvl w:val="0"/>
          <w:numId w:val="1005"/>
        </w:numPr>
      </w:pPr>
      <w:r>
        <w:rPr>
          <w:b/>
          <w:bCs/>
        </w:rPr>
        <w:t xml:space="preserve">Capacity runway:</w:t>
      </w:r>
      <w:r>
        <w:t xml:space="preserve"> </w:t>
      </w:r>
      <w:r>
        <w:t xml:space="preserve">current footprint (18 IRCs + 16 integrated ADESA sites) supports</w:t>
      </w:r>
      <w:r>
        <w:t xml:space="preserve"> </w:t>
      </w:r>
      <w:r>
        <w:rPr>
          <w:b/>
          <w:bCs/>
        </w:rPr>
        <w:t xml:space="preserve">~1.5M units of built-out annual capacity</w:t>
      </w:r>
      <w:r>
        <w:t xml:space="preserve"> </w:t>
      </w:r>
      <w:r>
        <w:t xml:space="preserve">(only ~0.75M run-rate used), with real estate for</w:t>
      </w:r>
      <w:r>
        <w:t xml:space="preserve"> </w:t>
      </w:r>
      <w:r>
        <w:rPr>
          <w:b/>
          <w:bCs/>
        </w:rPr>
        <w:t xml:space="preserve">3.0M</w:t>
      </w:r>
      <w:r>
        <w:t xml:space="preserve"> </w:t>
      </w:r>
      <w:r>
        <w:t xml:space="preserve">— the backbone of the 2030–2035 goal of</w:t>
      </w:r>
      <w:r>
        <w:t xml:space="preserve"> </w:t>
      </w:r>
      <w:r>
        <w:rPr>
          <w:b/>
          <w:bCs/>
        </w:rPr>
        <w:t xml:space="preserve">3M units at 13.5% Adjusted EBITDA margin</w:t>
      </w:r>
      <w:r>
        <w:t xml:space="preserve">. Expect updates on the</w:t>
      </w:r>
      <w:r>
        <w:t xml:space="preserve"> </w:t>
      </w:r>
      <w:r>
        <w:rPr>
          <w:b/>
          <w:bCs/>
        </w:rPr>
        <w:t xml:space="preserve">6–8 ADESA integrations planned for 2026</w:t>
      </w:r>
      <w:r>
        <w:t xml:space="preserve"> </w:t>
      </w:r>
      <w:r>
        <w:t xml:space="preserve">and the first full ADESA build-outs.</w:t>
      </w:r>
    </w:p>
    <w:p>
      <w:pPr>
        <w:pStyle w:val="Compact"/>
        <w:numPr>
          <w:ilvl w:val="0"/>
          <w:numId w:val="1005"/>
        </w:numPr>
      </w:pPr>
      <w:r>
        <w:rPr>
          <w:b/>
          <w:bCs/>
        </w:rPr>
        <w:t xml:space="preserve">Optionality:</w:t>
      </w:r>
      <w:r>
        <w:t xml:space="preserve"> </w:t>
      </w:r>
      <w:r>
        <w:t xml:space="preserve">continued (deliberately vague) commentary on Stellantis/new-car dealership pilots and ADESA Clear wholesale platform — Garcia has repeatedly said "it's still early."</w:t>
      </w:r>
    </w:p>
    <w:p>
      <w:r>
        <w:pict>
          <v:rect style="width:0;height:1.5pt" o:hralign="center" o:hrstd="t" o:hr="t"/>
        </w:pict>
      </w:r>
    </w:p>
    <w:bookmarkEnd w:id="14"/>
    <w:bookmarkStart w:id="15" w:name="stock-setup--sentiment"/>
    <w:p>
      <w:pPr>
        <w:pStyle w:val="Heading2"/>
      </w:pPr>
      <w:r>
        <w:t xml:space="preserve">Stock setup &amp; sentiment</w:t>
      </w:r>
    </w:p>
    <w:p>
      <w:pPr>
        <w:pStyle w:val="FirstParagraph"/>
      </w:pPr>
      <w:r>
        <w:t xml:space="preserve">Shares closed around</w:t>
      </w:r>
      <w:r>
        <w:t xml:space="preserve"> </w:t>
      </w:r>
      <w:r>
        <w:rPr>
          <w:b/>
          <w:bCs/>
        </w:rPr>
        <w:t xml:space="preserve">$66</w:t>
      </w:r>
      <w:r>
        <w:t xml:space="preserve"> </w:t>
      </w:r>
      <w:r>
        <w:t xml:space="preserve">on July 28, and the setup into the print is cautious:</w:t>
      </w:r>
    </w:p>
    <w:p>
      <w:pPr>
        <w:pStyle w:val="Compact"/>
        <w:numPr>
          <w:ilvl w:val="0"/>
          <w:numId w:val="1006"/>
        </w:numPr>
      </w:pPr>
      <w:r>
        <w:rPr>
          <w:b/>
          <w:bCs/>
        </w:rPr>
        <w:t xml:space="preserve">Down ~17% YTD</w:t>
      </w:r>
      <w:r>
        <w:t xml:space="preserve"> </w:t>
      </w:r>
      <w:r>
        <w:t xml:space="preserve">(from ~</w:t>
      </w:r>
      <m:oMath>
        <m:r>
          <m:t>80</m:t>
        </m:r>
        <m:r>
          <m:t>t</m:t>
        </m:r>
        <m:r>
          <m:t>o</m:t>
        </m:r>
        <m:r>
          <m:t>s</m:t>
        </m:r>
        <m:r>
          <m:t>t</m:t>
        </m:r>
        <m:r>
          <m:t>a</m:t>
        </m:r>
        <m:r>
          <m:t>r</m:t>
        </m:r>
        <m:r>
          <m:t>t</m:t>
        </m:r>
        <m:r>
          <m:t>J</m:t>
        </m:r>
        <m:r>
          <m:t>a</m:t>
        </m:r>
        <m:r>
          <m:t>n</m:t>
        </m:r>
        <m:r>
          <m:t>u</m:t>
        </m:r>
        <m:r>
          <m:t>a</m:t>
        </m:r>
        <m:r>
          <m:t>r</m:t>
        </m:r>
        <m:r>
          <m:t>y</m:t>
        </m:r>
        <m:r>
          <m:rPr>
            <m:sty m:val="p"/>
          </m:rPr>
          <m:t>)</m:t>
        </m:r>
        <m:r>
          <m:t>a</m:t>
        </m:r>
        <m:r>
          <m:t>n</m:t>
        </m:r>
        <m:r>
          <m:t>d</m:t>
        </m:r>
        <m:r>
          <m:rPr>
            <m:sty m:val="p"/>
          </m:rPr>
          <m:t>*</m:t>
        </m:r>
        <m:r>
          <m:rPr>
            <m:sty m:val="p"/>
          </m:rPr>
          <m:t>*</m:t>
        </m:r>
        <m:r>
          <m:t> </m:t>
        </m:r>
        <m:r>
          <m:t>31</m:t>
        </m:r>
      </m:oMath>
      <w:r>
        <w:t xml:space="preserve">96)**.</w:t>
      </w:r>
    </w:p>
    <w:p>
      <w:pPr>
        <w:pStyle w:val="Compact"/>
        <w:numPr>
          <w:ilvl w:val="0"/>
          <w:numId w:val="1006"/>
        </w:numPr>
      </w:pPr>
      <w:r>
        <w:t xml:space="preserve">The stock</w:t>
      </w:r>
      <w:r>
        <w:t xml:space="preserve"> </w:t>
      </w:r>
      <w:r>
        <w:rPr>
          <w:b/>
          <w:bCs/>
        </w:rPr>
        <w:t xml:space="preserve">derated after the Q4 2025 recon miss</w:t>
      </w:r>
      <w:r>
        <w:t xml:space="preserve"> </w:t>
      </w:r>
      <w:r>
        <w:t xml:space="preserve">(mid-</w:t>
      </w:r>
      <m:oMath>
        <m:r>
          <m:t>70</m:t>
        </m:r>
        <m:r>
          <m:t>s</m:t>
        </m:r>
        <m:r>
          <m:t>i</m:t>
        </m:r>
        <m:r>
          <m:t>n</m:t>
        </m:r>
        <m:r>
          <m:t>m</m:t>
        </m:r>
        <m:r>
          <m:t>i</m:t>
        </m:r>
        <m:r>
          <m:t>d</m:t>
        </m:r>
        <m:r>
          <m:rPr>
            <m:sty m:val="p"/>
          </m:rPr>
          <m:t>−</m:t>
        </m:r>
        <m:r>
          <m:t>F</m:t>
        </m:r>
        <m:r>
          <m:t>e</m:t>
        </m:r>
        <m:r>
          <m:t>b</m:t>
        </m:r>
        <m:r>
          <m:t>r</m:t>
        </m:r>
        <m:r>
          <m:t>u</m:t>
        </m:r>
        <m:r>
          <m:t>a</m:t>
        </m:r>
        <m:r>
          <m:t>r</m:t>
        </m:r>
        <m:r>
          <m:t>y</m:t>
        </m:r>
        <m:r>
          <m:t>d</m:t>
        </m:r>
        <m:r>
          <m:t>o</m:t>
        </m:r>
        <m:r>
          <m:t>w</m:t>
        </m:r>
        <m:r>
          <m:t>n</m:t>
        </m:r>
        <m:r>
          <m:t>t</m:t>
        </m:r>
        <m:r>
          <m:t>o</m:t>
        </m:r>
        <m:r>
          <m:t>w</m:t>
        </m:r>
        <m:r>
          <m:t>a</m:t>
        </m:r>
        <m:r>
          <m:t>r</m:t>
        </m:r>
        <m:r>
          <m:t>d</m:t>
        </m:r>
        <m:r>
          <m:t>t</m:t>
        </m:r>
        <m:r>
          <m:t>h</m:t>
        </m:r>
        <m:r>
          <m:t>e</m:t>
        </m:r>
        <m:r>
          <m:t>m</m:t>
        </m:r>
        <m:r>
          <m:t>i</m:t>
        </m:r>
        <m:r>
          <m:t>d</m:t>
        </m:r>
        <m:r>
          <m:rPr>
            <m:sty m:val="p"/>
          </m:rPr>
          <m:t>−</m:t>
        </m:r>
      </m:oMath>
      <w:r>
        <w:t xml:space="preserve">60s) and has been **range-bound ~</w:t>
      </w:r>
      <m:oMath>
        <m:r>
          <m:t>60</m:t>
        </m:r>
        <m:r>
          <m:rPr>
            <m:sty m:val="p"/>
          </m:rPr>
          <m:t>–</m:t>
        </m:r>
        <m:r>
          <m:t>73</m:t>
        </m:r>
        <m:r>
          <m:rPr>
            <m:sty m:val="p"/>
          </m:rPr>
          <m:t>*</m:t>
        </m:r>
        <m:r>
          <m:rPr>
            <m:sty m:val="p"/>
          </m:rPr>
          <m:t>*</m:t>
        </m:r>
        <m:r>
          <m:t>f</m:t>
        </m:r>
        <m:r>
          <m:t>o</m:t>
        </m:r>
        <m:r>
          <m:t>r</m:t>
        </m:r>
        <m:r>
          <m:t>m</m:t>
        </m:r>
        <m:r>
          <m:t>o</m:t>
        </m:r>
        <m:r>
          <m:t>n</m:t>
        </m:r>
        <m:r>
          <m:t>t</m:t>
        </m:r>
        <m:r>
          <m:t>h</m:t>
        </m:r>
        <m:r>
          <m:t>s</m:t>
        </m:r>
        <m:r>
          <m:rPr>
            <m:sty m:val="p"/>
          </m:rPr>
          <m:t>,</m:t>
        </m:r>
        <m:r>
          <m:t>u</m:t>
        </m:r>
        <m:r>
          <m:t>n</m:t>
        </m:r>
        <m:r>
          <m:t>a</m:t>
        </m:r>
        <m:r>
          <m:t>b</m:t>
        </m:r>
        <m:r>
          <m:t>l</m:t>
        </m:r>
        <m:r>
          <m:t>e</m:t>
        </m:r>
        <m:r>
          <m:t>t</m:t>
        </m:r>
        <m:r>
          <m:t>o</m:t>
        </m:r>
        <m:r>
          <m:t>r</m:t>
        </m:r>
        <m:r>
          <m:t>e</m:t>
        </m:r>
        <m:r>
          <m:t>c</m:t>
        </m:r>
        <m:r>
          <m:t>l</m:t>
        </m:r>
        <m:r>
          <m:t>a</m:t>
        </m:r>
        <m:r>
          <m:t>i</m:t>
        </m:r>
        <m:r>
          <m:t>m</m:t>
        </m:r>
        <m:r>
          <m:t>t</m:t>
        </m:r>
        <m:r>
          <m:t>h</m:t>
        </m:r>
        <m:r>
          <m:t>e</m:t>
        </m:r>
        <m:r>
          <m:t>Q</m:t>
        </m:r>
        <m:r>
          <m:t>1</m:t>
        </m:r>
        <m:r>
          <m:rPr>
            <m:sty m:val="p"/>
          </m:rPr>
          <m:t>−</m:t>
        </m:r>
        <m:r>
          <m:t>r</m:t>
        </m:r>
        <m:r>
          <m:t>e</m:t>
        </m:r>
        <m:r>
          <m:t>p</m:t>
        </m:r>
        <m:r>
          <m:t>o</m:t>
        </m:r>
        <m:r>
          <m:t>r</m:t>
        </m:r>
        <m:r>
          <m:t>t</m:t>
        </m:r>
        <m:r>
          <m:t>l</m:t>
        </m:r>
        <m:r>
          <m:t>e</m:t>
        </m:r>
        <m:r>
          <m:t>v</m:t>
        </m:r>
        <m:r>
          <m:t>e</m:t>
        </m:r>
        <m:r>
          <m:t>l</m:t>
        </m:r>
        <m:r>
          <m:rPr>
            <m:sty m:val="p"/>
          </m:rPr>
          <m:t>(</m:t>
        </m:r>
        <m:r>
          <m:t> </m:t>
        </m:r>
      </m:oMath>
      <w:r>
        <w:t xml:space="preserve">79).</w:t>
      </w:r>
    </w:p>
    <w:p>
      <w:pPr>
        <w:pStyle w:val="Compact"/>
        <w:numPr>
          <w:ilvl w:val="0"/>
          <w:numId w:val="1006"/>
        </w:numPr>
      </w:pPr>
      <w:r>
        <w:t xml:space="preserve">The recent slide from ~</w:t>
      </w:r>
      <m:oMath>
        <m:r>
          <m:t>70</m:t>
        </m:r>
        <m:r>
          <m:rPr>
            <m:sty m:val="p"/>
          </m:rPr>
          <m:t>(</m:t>
        </m:r>
        <m:r>
          <m:t>m</m:t>
        </m:r>
        <m:r>
          <m:t>i</m:t>
        </m:r>
        <m:r>
          <m:t>d</m:t>
        </m:r>
        <m:r>
          <m:rPr>
            <m:sty m:val="p"/>
          </m:rPr>
          <m:t>−</m:t>
        </m:r>
        <m:r>
          <m:t>J</m:t>
        </m:r>
        <m:r>
          <m:t>u</m:t>
        </m:r>
        <m:r>
          <m:t>l</m:t>
        </m:r>
        <m:r>
          <m:t>y</m:t>
        </m:r>
        <m:r>
          <m:rPr>
            <m:sty m:val="p"/>
          </m:rPr>
          <m:t>)</m:t>
        </m:r>
        <m:r>
          <m:t>t</m:t>
        </m:r>
        <m:r>
          <m:t>o</m:t>
        </m:r>
        <m:r>
          <m:t>t</m:t>
        </m:r>
        <m:r>
          <m:t>h</m:t>
        </m:r>
        <m:r>
          <m:t>e</m:t>
        </m:r>
        <m:r>
          <m:t>l</m:t>
        </m:r>
        <m:r>
          <m:t>o</m:t>
        </m:r>
        <m:r>
          <m:t>w</m:t>
        </m:r>
        <m:r>
          <m:rPr>
            <m:sty m:val="p"/>
          </m:rPr>
          <m:t>−</m:t>
        </m:r>
      </m:oMath>
      <w:r>
        <w:t xml:space="preserve">60s suggests</w:t>
      </w:r>
      <w:r>
        <w:t xml:space="preserve"> </w:t>
      </w:r>
      <w:r>
        <w:rPr>
          <w:b/>
          <w:bCs/>
        </w:rPr>
        <w:t xml:space="preserve">some de-risking into the number</w:t>
      </w:r>
      <w:r>
        <w:t xml:space="preserve">.</w:t>
      </w:r>
    </w:p>
    <w:p>
      <w:pPr>
        <w:pStyle w:val="FirstParagraph"/>
      </w:pPr>
      <w:r>
        <w:rPr>
          <w:b/>
          <w:bCs/>
        </w:rPr>
        <w:t xml:space="preserve">Implication:</w:t>
      </w:r>
      <w:r>
        <w:t xml:space="preserve"> </w:t>
      </w:r>
      <w:r>
        <w:t xml:space="preserve">Sentiment is not euphoric, which lowers the bar somewhat. But CVNA remains a premium-multiple, high-expectations name — a record EBITDA print alone likely isn't enough. The reaction will hinge on (1)</w:t>
      </w:r>
      <w:r>
        <w:t xml:space="preserve"> </w:t>
      </w:r>
      <w:r>
        <w:rPr>
          <w:b/>
          <w:bCs/>
        </w:rPr>
        <w:t xml:space="preserve">units</w:t>
      </w:r>
      <w:r>
        <w:t xml:space="preserve"> </w:t>
      </w:r>
      <w:r>
        <w:t xml:space="preserve">relative to the ~40% growth cadence, (2) whether</w:t>
      </w:r>
      <w:r>
        <w:t xml:space="preserve"> </w:t>
      </w:r>
      <w:r>
        <w:rPr>
          <w:b/>
          <w:bCs/>
        </w:rPr>
        <w:t xml:space="preserve">retail GPU rose sequentially</w:t>
      </w:r>
      <w:r>
        <w:t xml:space="preserve"> </w:t>
      </w:r>
      <w:r>
        <w:t xml:space="preserve">and the wholesale-spread pressure proved transitory as promised, (3) evidence the</w:t>
      </w:r>
      <w:r>
        <w:t xml:space="preserve"> </w:t>
      </w:r>
      <w:r>
        <w:rPr>
          <w:b/>
          <w:bCs/>
        </w:rPr>
        <w:t xml:space="preserve">recon efficiency gains are flowing through margins</w:t>
      </w:r>
      <w:r>
        <w:t xml:space="preserve">, and (4) any</w:t>
      </w:r>
      <w:r>
        <w:t xml:space="preserve"> </w:t>
      </w:r>
      <w:r>
        <w:rPr>
          <w:b/>
          <w:bCs/>
        </w:rPr>
        <w:t xml:space="preserve">raise/color on full-year 2026 EBITDA</w:t>
      </w:r>
      <w:r>
        <w:t xml:space="preserve">.</w:t>
      </w:r>
    </w:p>
    <w:p>
      <w:r>
        <w:pict>
          <v:rect style="width:0;height:1.5pt" o:hralign="center" o:hrstd="t" o:hr="t"/>
        </w:pict>
      </w:r>
    </w:p>
    <w:bookmarkEnd w:id="15"/>
    <w:bookmarkStart w:id="16" w:name="bottom-line--what-to-focus-on"/>
    <w:p>
      <w:pPr>
        <w:pStyle w:val="Heading2"/>
      </w:pPr>
      <w:r>
        <w:t xml:space="preserve">Bottom line — what to focus on</w:t>
      </w:r>
    </w:p>
    <w:p>
      <w:pPr>
        <w:pStyle w:val="Compact"/>
        <w:numPr>
          <w:ilvl w:val="0"/>
          <w:numId w:val="1007"/>
        </w:numPr>
      </w:pPr>
      <w:r>
        <w:rPr>
          <w:b/>
          <w:bCs/>
        </w:rPr>
        <w:t xml:space="preserve">Units:</w:t>
      </w:r>
      <w:r>
        <w:t xml:space="preserve"> </w:t>
      </w:r>
      <w:r>
        <w:t xml:space="preserve">Is ~40% YoY growth intact (~200k)? Deceleration below ~35% would be a red flag given the "demand is available" narrative.</w:t>
      </w:r>
    </w:p>
    <w:p>
      <w:pPr>
        <w:pStyle w:val="Compact"/>
        <w:numPr>
          <w:ilvl w:val="0"/>
          <w:numId w:val="1007"/>
        </w:numPr>
      </w:pPr>
      <w:r>
        <w:rPr>
          <w:b/>
          <w:bCs/>
        </w:rPr>
        <w:t xml:space="preserve">Retail GPU trajectory:</w:t>
      </w:r>
      <w:r>
        <w:t xml:space="preserve"> </w:t>
      </w:r>
      <w:r>
        <w:t xml:space="preserve">Guided</w:t>
      </w:r>
      <w:r>
        <w:t xml:space="preserve"> </w:t>
      </w:r>
      <w:r>
        <w:rPr>
          <w:i/>
          <w:iCs/>
        </w:rPr>
        <w:t xml:space="preserve">down</w:t>
      </w:r>
      <w:r>
        <w:t xml:space="preserve"> </w:t>
      </w:r>
      <w:r>
        <w:t xml:space="preserve">YoY — did it beat the feared ~$100–200 spread headwind and rise sequentially?</w:t>
      </w:r>
    </w:p>
    <w:p>
      <w:pPr>
        <w:pStyle w:val="Compact"/>
        <w:numPr>
          <w:ilvl w:val="0"/>
          <w:numId w:val="1007"/>
        </w:numPr>
      </w:pPr>
      <w:r>
        <w:rPr>
          <w:b/>
          <w:bCs/>
        </w:rPr>
        <w:t xml:space="preserve">Recon flow-through:</w:t>
      </w:r>
      <w:r>
        <w:t xml:space="preserve"> </w:t>
      </w:r>
      <w:r>
        <w:t xml:space="preserve">Proof that Q4's bump is fully behind them and labor-hours gains are hitting gross profit.</w:t>
      </w:r>
    </w:p>
    <w:p>
      <w:pPr>
        <w:pStyle w:val="Compact"/>
        <w:numPr>
          <w:ilvl w:val="0"/>
          <w:numId w:val="1007"/>
        </w:numPr>
      </w:pPr>
      <w:r>
        <w:rPr>
          <w:b/>
          <w:bCs/>
        </w:rPr>
        <w:t xml:space="preserve">EBITDA margin:</w:t>
      </w:r>
      <w:r>
        <w:t xml:space="preserve"> </w:t>
      </w:r>
      <w:r>
        <w:t xml:space="preserve">Q1 was 10.4% (down from 11.5%, partly optics from gross-revenue accounting). Watch the underlying margin path back toward the 13.5% long-term target.</w:t>
      </w:r>
    </w:p>
    <w:p>
      <w:pPr>
        <w:pStyle w:val="Compact"/>
        <w:numPr>
          <w:ilvl w:val="0"/>
          <w:numId w:val="1007"/>
        </w:numPr>
      </w:pPr>
      <w:r>
        <w:rPr>
          <w:b/>
          <w:bCs/>
        </w:rPr>
        <w:t xml:space="preserve">Full-year framing &amp; deleveraging:</w:t>
      </w:r>
      <w:r>
        <w:t xml:space="preserve"> </w:t>
      </w:r>
      <w:r>
        <w:t xml:space="preserve">Any FY26 EBITDA anchor and continued progress toward investment-grade.</w:t>
      </w:r>
    </w:p>
    <w:p>
      <w:pPr>
        <w:pStyle w:val="FirstParagraph"/>
      </w:pPr>
      <w:r>
        <w:rPr>
          <w:b/>
          <w:bCs/>
        </w:rPr>
        <w:t xml:space="preserve">Net:</w:t>
      </w:r>
      <w:r>
        <w:t xml:space="preserve"> </w:t>
      </w:r>
      <w:r>
        <w:t xml:space="preserve">A near-lock on headline records, but a "prove-the-margins" quarter. The asymmetry favors the stock if GPU surprises to the upside on recon/spread normalization; downside risk is a "records but soft GPU/guidance" print that confirms the market's caution.</w:t>
      </w:r>
    </w:p>
    <w:p>
      <w:pPr>
        <w:pStyle w:val="BodyText"/>
      </w:pPr>
      <w:r>
        <w:rPr>
          <w:i/>
          <w:iCs/>
        </w:rPr>
        <w:t xml:space="preserve">Note: I found no company-specific news items in the last two weeks in the available news feeds, so this preview is built primarily from the Q1 2026 shareholder letter/call, the year-ago Q2 2025 release, and recent price action. Consensus estimates from sell-side were not available in the tools; the "implied bar" figures above are derived from management's own guidance and historical growth cadence.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2026-07-29T01:43:36Z</dcterms:created>
  <dcterms:modified xsi:type="dcterms:W3CDTF">2026-07-29T01:43:36Z</dcterms:modified>
</cp:coreProperties>
</file>

<file path=docProps/custom.xml><?xml version="1.0" encoding="utf-8"?>
<Properties xmlns="http://schemas.openxmlformats.org/officeDocument/2006/custom-properties" xmlns:vt="http://schemas.openxmlformats.org/officeDocument/2006/docPropsVTypes"/>
</file>