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vna-earnings-predictions--2026-07-29"/>
    <w:p>
      <w:pPr>
        <w:pStyle w:val="Heading1"/>
      </w:pPr>
      <w:r>
        <w:t xml:space="preserve">CVNA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CVNA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Retail Units Sold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~214,000 units vs. cons ~208,000 units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CVNA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EBITDA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755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725M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CVNA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GAAP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0.46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0.42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CVNA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Retail Unit Growth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~225,000 units vs. cons ~215,000 units (Q3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CVNA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Adjusted EBITDA Margin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~10.8% vs. cons ~10.3% (Q3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CVNA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EBITDA Margin Path (toward 13.5% target)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~11.0% exit-rate trajectory vs. cons ~10.7%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CVNA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+5.0%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CVNA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+3.0% (STABILIZE)</w:t>
            </w:r>
          </w:p>
        </w:tc>
        <w:tc>
          <w:tcPr/>
          <w:p>
            <w:pPr>
              <w:pStyle w:val="Compact"/>
            </w:pPr>
            <w:r>
              <w:t xml:space="preserve">Operational beat on units/EBITDA is largely pre-guided by management's explicit 'sequential record' language, so the surprise magnitude is modest relative to a stock already priced for continued hyper-growth; initial pop from confirming GPU/reconditioning fix and normalizing wholesale-retail spread gets partially offset by tougher H2 comps (Q3/Q4 2025 margins were strong) and lingering litigation/governance overhang (Gotham allegations, Arizona class action document production) that caps follow-through buying without triggering a full reversal, leaving the stock to consolidate near its post-print level over the following days.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2026-07-29T01:48:09Z</dcterms:created>
  <dcterms:modified xsi:type="dcterms:W3CDTF">2026-07-29T01:48:09Z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